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EF" w:rsidRPr="00AA2D2A" w:rsidRDefault="000563EF" w:rsidP="000563EF">
      <w:pPr>
        <w:spacing w:after="0"/>
        <w:jc w:val="right"/>
        <w:rPr>
          <w:b/>
          <w:i/>
        </w:rPr>
      </w:pPr>
      <w:r w:rsidRPr="00AA2D2A">
        <w:rPr>
          <w:b/>
          <w:i/>
        </w:rPr>
        <w:t xml:space="preserve">Załącznik nr 2 </w:t>
      </w:r>
    </w:p>
    <w:p w:rsidR="000563EF" w:rsidRPr="00AA2D2A" w:rsidRDefault="000563EF" w:rsidP="000563EF">
      <w:pPr>
        <w:spacing w:after="0"/>
        <w:jc w:val="right"/>
      </w:pPr>
      <w:r w:rsidRPr="00AA2D2A">
        <w:rPr>
          <w:b/>
          <w:i/>
        </w:rPr>
        <w:t xml:space="preserve"> </w:t>
      </w:r>
      <w:r w:rsidRPr="00AA2D2A">
        <w:t xml:space="preserve">do Zarządzenia Nr 65.2024 </w:t>
      </w:r>
    </w:p>
    <w:p w:rsidR="000563EF" w:rsidRPr="00AA2D2A" w:rsidRDefault="000563EF" w:rsidP="000563EF">
      <w:pPr>
        <w:spacing w:after="0"/>
        <w:jc w:val="right"/>
      </w:pPr>
      <w:r w:rsidRPr="00AA2D2A">
        <w:t xml:space="preserve">Wójta Gminy Dąbrówka </w:t>
      </w:r>
    </w:p>
    <w:p w:rsidR="000563EF" w:rsidRPr="006C5C28" w:rsidRDefault="000563EF" w:rsidP="000563EF">
      <w:pPr>
        <w:spacing w:after="462" w:line="265" w:lineRule="auto"/>
        <w:ind w:left="10" w:right="42" w:hanging="10"/>
        <w:jc w:val="right"/>
        <w:rPr>
          <w:rFonts w:asciiTheme="minorHAnsi" w:hAnsiTheme="minorHAnsi" w:cstheme="minorHAnsi"/>
          <w:sz w:val="20"/>
          <w:szCs w:val="20"/>
        </w:rPr>
      </w:pPr>
      <w:r w:rsidRPr="00AA2D2A">
        <w:t xml:space="preserve">     z dnia 28 listopada 2024 r</w:t>
      </w:r>
      <w:r w:rsidRPr="006C5C28">
        <w:rPr>
          <w:sz w:val="20"/>
          <w:szCs w:val="20"/>
        </w:rPr>
        <w:t xml:space="preserve">. </w:t>
      </w:r>
      <w:r w:rsidRPr="006C5C2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0563EF" w:rsidRPr="00F95862" w:rsidRDefault="000563EF" w:rsidP="000563EF">
      <w:pPr>
        <w:spacing w:after="349" w:line="378" w:lineRule="auto"/>
        <w:jc w:val="center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  <w:b/>
        </w:rPr>
        <w:t xml:space="preserve">Zasady dotyczące księgowań wzajemnych rozrachunków pomiędzy jednostkami organizacyjnymi Gminy </w:t>
      </w:r>
      <w:r>
        <w:rPr>
          <w:rFonts w:asciiTheme="minorHAnsi" w:eastAsia="Arial" w:hAnsiTheme="minorHAnsi" w:cstheme="minorHAnsi"/>
          <w:b/>
        </w:rPr>
        <w:t>Dąbrówka</w:t>
      </w:r>
      <w:r w:rsidRPr="00F95862">
        <w:rPr>
          <w:rFonts w:asciiTheme="minorHAnsi" w:eastAsia="Arial" w:hAnsiTheme="minorHAnsi" w:cstheme="minorHAnsi"/>
          <w:b/>
        </w:rPr>
        <w:t xml:space="preserve">, które uwzględniane są w łącznym sprawozdaniu finansowym Gminy </w:t>
      </w:r>
      <w:r>
        <w:rPr>
          <w:rFonts w:asciiTheme="minorHAnsi" w:eastAsia="Arial" w:hAnsiTheme="minorHAnsi" w:cstheme="minorHAnsi"/>
          <w:b/>
        </w:rPr>
        <w:t>Dąbrówka</w:t>
      </w:r>
      <w:r w:rsidRPr="00F95862">
        <w:rPr>
          <w:rFonts w:asciiTheme="minorHAnsi" w:eastAsia="Arial" w:hAnsiTheme="minorHAnsi" w:cstheme="minorHAnsi"/>
          <w:b/>
        </w:rPr>
        <w:t xml:space="preserve"> </w:t>
      </w:r>
    </w:p>
    <w:p w:rsidR="000563EF" w:rsidRPr="00F95862" w:rsidRDefault="000563EF" w:rsidP="000563EF">
      <w:pPr>
        <w:pStyle w:val="Nagwek1"/>
        <w:spacing w:after="225"/>
        <w:rPr>
          <w:rFonts w:asciiTheme="minorHAnsi" w:hAnsiTheme="minorHAnsi" w:cstheme="minorHAnsi"/>
          <w:sz w:val="22"/>
        </w:rPr>
      </w:pPr>
      <w:r w:rsidRPr="00F95862">
        <w:rPr>
          <w:rFonts w:asciiTheme="minorHAnsi" w:hAnsiTheme="minorHAnsi" w:cstheme="minorHAnsi"/>
          <w:sz w:val="22"/>
        </w:rPr>
        <w:t xml:space="preserve">§ 1 </w:t>
      </w:r>
    </w:p>
    <w:p w:rsidR="000563EF" w:rsidRPr="00F95862" w:rsidRDefault="000563EF" w:rsidP="000563EF">
      <w:pPr>
        <w:numPr>
          <w:ilvl w:val="0"/>
          <w:numId w:val="1"/>
        </w:numPr>
        <w:spacing w:after="16" w:line="354" w:lineRule="auto"/>
        <w:ind w:hanging="283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Zobowiązuje się kierowników jednostek organizacyjnych Gminy </w:t>
      </w:r>
      <w:r>
        <w:rPr>
          <w:rFonts w:asciiTheme="minorHAnsi" w:eastAsia="Arial" w:hAnsiTheme="minorHAnsi" w:cstheme="minorHAnsi"/>
        </w:rPr>
        <w:t>Dąbrówka</w:t>
      </w:r>
      <w:r w:rsidRPr="00F95862">
        <w:rPr>
          <w:rFonts w:asciiTheme="minorHAnsi" w:eastAsia="Arial" w:hAnsiTheme="minorHAnsi" w:cstheme="minorHAnsi"/>
        </w:rPr>
        <w:t xml:space="preserve"> do prowadzenia ewidencji księgowej wzajemnych wyłączeń: należności i zobowiązań, przychodów i kosztów oraz funduszu jednostki. </w:t>
      </w:r>
    </w:p>
    <w:p w:rsidR="000563EF" w:rsidRPr="00F95862" w:rsidRDefault="000563EF" w:rsidP="000563EF">
      <w:pPr>
        <w:numPr>
          <w:ilvl w:val="0"/>
          <w:numId w:val="1"/>
        </w:numPr>
        <w:spacing w:after="0" w:line="359" w:lineRule="auto"/>
        <w:ind w:hanging="283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Wykaz jednostek organizacyjnych objętych zasadami dotyczącymi księgowań wzajemnych rozrachunków pomiędzy jednostkami organizacyjnymi Gminy </w:t>
      </w:r>
      <w:r>
        <w:rPr>
          <w:rFonts w:asciiTheme="minorHAnsi" w:eastAsia="Arial" w:hAnsiTheme="minorHAnsi" w:cstheme="minorHAnsi"/>
        </w:rPr>
        <w:t>Dąbrówka</w:t>
      </w:r>
      <w:r w:rsidRPr="00F95862">
        <w:rPr>
          <w:rFonts w:asciiTheme="minorHAnsi" w:eastAsia="Arial" w:hAnsiTheme="minorHAnsi" w:cstheme="minorHAnsi"/>
        </w:rPr>
        <w:t xml:space="preserve">, które uwzględniane są w łącznym sprawozdaniu finansowym Gminy </w:t>
      </w:r>
      <w:r>
        <w:rPr>
          <w:rFonts w:asciiTheme="minorHAnsi" w:eastAsia="Arial" w:hAnsiTheme="minorHAnsi" w:cstheme="minorHAnsi"/>
        </w:rPr>
        <w:t>Dąbrówka</w:t>
      </w:r>
      <w:r w:rsidRPr="00F95862">
        <w:rPr>
          <w:rFonts w:asciiTheme="minorHAnsi" w:eastAsia="Arial" w:hAnsiTheme="minorHAnsi" w:cstheme="minorHAnsi"/>
        </w:rPr>
        <w:t xml:space="preserve">, określony został w Załączniku Nr 3 do Zarządzenia. </w:t>
      </w:r>
    </w:p>
    <w:p w:rsidR="000563EF" w:rsidRPr="00F95862" w:rsidRDefault="000563EF" w:rsidP="000563EF">
      <w:pPr>
        <w:spacing w:after="222"/>
        <w:ind w:left="10" w:right="6" w:hanging="10"/>
        <w:jc w:val="center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  <w:b/>
        </w:rPr>
        <w:t xml:space="preserve">§ 2 </w:t>
      </w:r>
    </w:p>
    <w:p w:rsidR="000563EF" w:rsidRPr="00F95862" w:rsidRDefault="000563EF" w:rsidP="000563EF">
      <w:pPr>
        <w:numPr>
          <w:ilvl w:val="0"/>
          <w:numId w:val="2"/>
        </w:numPr>
        <w:spacing w:after="16" w:line="354" w:lineRule="auto"/>
        <w:ind w:hanging="283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Ewidencja funkcjonujących w jednostkach kont 976 winna być prowadzona w podziale na jednostki wymienione w Załączniku Nr 3 do Zarządzenia. </w:t>
      </w:r>
    </w:p>
    <w:p w:rsidR="000563EF" w:rsidRPr="00F95862" w:rsidRDefault="000563EF" w:rsidP="000563EF">
      <w:pPr>
        <w:numPr>
          <w:ilvl w:val="0"/>
          <w:numId w:val="2"/>
        </w:numPr>
        <w:spacing w:after="5" w:line="359" w:lineRule="auto"/>
        <w:ind w:hanging="283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Konto pozabilansowe 976 „Wzajemne rozliczenia miedzy jednostkami” powinno być prowadzone odrębnie na: </w:t>
      </w:r>
    </w:p>
    <w:p w:rsidR="000563EF" w:rsidRPr="00F95862" w:rsidRDefault="000563EF" w:rsidP="000563EF">
      <w:pPr>
        <w:numPr>
          <w:ilvl w:val="1"/>
          <w:numId w:val="2"/>
        </w:numPr>
        <w:spacing w:after="102"/>
        <w:ind w:hanging="39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976-</w:t>
      </w:r>
      <w:r w:rsidRPr="00F95862">
        <w:rPr>
          <w:rFonts w:asciiTheme="minorHAnsi" w:eastAsia="Arial" w:hAnsiTheme="minorHAnsi" w:cstheme="minorHAnsi"/>
        </w:rPr>
        <w:t xml:space="preserve">01 – wyłączenia wzajemnych należności, </w:t>
      </w:r>
    </w:p>
    <w:p w:rsidR="000563EF" w:rsidRPr="00F95862" w:rsidRDefault="000563EF" w:rsidP="000563EF">
      <w:pPr>
        <w:numPr>
          <w:ilvl w:val="1"/>
          <w:numId w:val="2"/>
        </w:numPr>
        <w:spacing w:after="102"/>
        <w:ind w:hanging="39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976-</w:t>
      </w:r>
      <w:r w:rsidRPr="00F95862">
        <w:rPr>
          <w:rFonts w:asciiTheme="minorHAnsi" w:eastAsia="Arial" w:hAnsiTheme="minorHAnsi" w:cstheme="minorHAnsi"/>
        </w:rPr>
        <w:t xml:space="preserve">02 – wyłączenia wzajemnych zobowiązań, </w:t>
      </w:r>
    </w:p>
    <w:p w:rsidR="000563EF" w:rsidRPr="00F95862" w:rsidRDefault="000563EF" w:rsidP="000563EF">
      <w:pPr>
        <w:numPr>
          <w:ilvl w:val="1"/>
          <w:numId w:val="2"/>
        </w:numPr>
        <w:spacing w:after="102"/>
        <w:ind w:hanging="39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976-</w:t>
      </w:r>
      <w:r w:rsidRPr="00F95862">
        <w:rPr>
          <w:rFonts w:asciiTheme="minorHAnsi" w:eastAsia="Arial" w:hAnsiTheme="minorHAnsi" w:cstheme="minorHAnsi"/>
        </w:rPr>
        <w:t xml:space="preserve">03 – wyłączenia rozliczeń przychodów, </w:t>
      </w:r>
    </w:p>
    <w:p w:rsidR="000563EF" w:rsidRPr="00F95862" w:rsidRDefault="000563EF" w:rsidP="000563EF">
      <w:pPr>
        <w:numPr>
          <w:ilvl w:val="1"/>
          <w:numId w:val="2"/>
        </w:numPr>
        <w:spacing w:after="102"/>
        <w:ind w:hanging="39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976-</w:t>
      </w:r>
      <w:r w:rsidRPr="00F95862">
        <w:rPr>
          <w:rFonts w:asciiTheme="minorHAnsi" w:eastAsia="Arial" w:hAnsiTheme="minorHAnsi" w:cstheme="minorHAnsi"/>
        </w:rPr>
        <w:t xml:space="preserve">04 – wyłączenia rozliczeń kosztów, </w:t>
      </w:r>
    </w:p>
    <w:p w:rsidR="000563EF" w:rsidRPr="00F95862" w:rsidRDefault="000563EF" w:rsidP="000563EF">
      <w:pPr>
        <w:numPr>
          <w:ilvl w:val="1"/>
          <w:numId w:val="2"/>
        </w:numPr>
        <w:spacing w:after="102"/>
        <w:ind w:hanging="398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976-</w:t>
      </w:r>
      <w:r w:rsidRPr="00F95862">
        <w:rPr>
          <w:rFonts w:asciiTheme="minorHAnsi" w:eastAsia="Arial" w:hAnsiTheme="minorHAnsi" w:cstheme="minorHAnsi"/>
        </w:rPr>
        <w:t xml:space="preserve">05 – wyłączenia rozliczeń z funduszu. </w:t>
      </w:r>
    </w:p>
    <w:p w:rsidR="000563EF" w:rsidRPr="00C40051" w:rsidRDefault="000563EF" w:rsidP="000563EF">
      <w:pPr>
        <w:numPr>
          <w:ilvl w:val="0"/>
          <w:numId w:val="2"/>
        </w:numPr>
        <w:spacing w:after="102"/>
        <w:ind w:hanging="283"/>
        <w:jc w:val="both"/>
        <w:rPr>
          <w:rFonts w:asciiTheme="minorHAnsi" w:hAnsiTheme="minorHAnsi" w:cstheme="minorHAnsi"/>
        </w:rPr>
      </w:pPr>
      <w:r>
        <w:t>Zapisów na kontach dokonuje się na koniec każdego kwartału, jednak nie rzadziej niż na dzień 31.12.20..… r.</w:t>
      </w:r>
    </w:p>
    <w:p w:rsidR="000563EF" w:rsidRPr="00F95862" w:rsidRDefault="000563EF" w:rsidP="000563EF">
      <w:pPr>
        <w:numPr>
          <w:ilvl w:val="0"/>
          <w:numId w:val="2"/>
        </w:numPr>
        <w:spacing w:after="102"/>
        <w:ind w:hanging="283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Podstawą zapisu na koncie 976 jest PK „Polecenie księgowania”. </w:t>
      </w:r>
    </w:p>
    <w:p w:rsidR="000563EF" w:rsidRPr="00F95862" w:rsidRDefault="000563EF" w:rsidP="000563EF">
      <w:pPr>
        <w:numPr>
          <w:ilvl w:val="0"/>
          <w:numId w:val="2"/>
        </w:numPr>
        <w:spacing w:after="11" w:line="358" w:lineRule="auto"/>
        <w:ind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Konto 976-</w:t>
      </w:r>
      <w:r w:rsidRPr="00F95862">
        <w:rPr>
          <w:rFonts w:asciiTheme="minorHAnsi" w:eastAsia="Arial" w:hAnsiTheme="minorHAnsi" w:cstheme="minorHAnsi"/>
        </w:rPr>
        <w:t xml:space="preserve">01 winno służyć jednostkom do ewidencjonowania należności od jednostek z grupy wykazanej w Załączniku Nr 3 do Zarządzenia. Na stronie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konta ujmuje się należności od jednostek organizacyjnych ustalone na podstawie faktur, rachunków, decyzji administracyjnych itp. </w:t>
      </w:r>
    </w:p>
    <w:p w:rsidR="000563EF" w:rsidRPr="00F95862" w:rsidRDefault="000563EF" w:rsidP="000563EF">
      <w:pPr>
        <w:spacing w:after="0" w:line="371" w:lineRule="auto"/>
        <w:ind w:left="293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Na stronie Ma konta księguje się zapłatę należności. Saldo konta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na dzień 31 grudnia danego roku budżetowego będzie oznaczało stan należności podlegający wyłączeniu w sprawozdaniu łącznym. </w:t>
      </w:r>
    </w:p>
    <w:p w:rsidR="000563EF" w:rsidRPr="00F95862" w:rsidRDefault="000563EF" w:rsidP="000563EF">
      <w:pPr>
        <w:numPr>
          <w:ilvl w:val="0"/>
          <w:numId w:val="2"/>
        </w:numPr>
        <w:spacing w:after="102" w:line="361" w:lineRule="auto"/>
        <w:ind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>Konto 976-</w:t>
      </w:r>
      <w:r w:rsidRPr="00F95862">
        <w:rPr>
          <w:rFonts w:asciiTheme="minorHAnsi" w:eastAsia="Arial" w:hAnsiTheme="minorHAnsi" w:cstheme="minorHAnsi"/>
        </w:rPr>
        <w:t xml:space="preserve">02 winno służyć jednostkom do ewidencjonowania zobowiązań wobec jednostek z grupy wskazanej w Załączniku Nr 3 do Zarządzenia. Na stronie Ma ujmuje się zobowiązania wobec jednostek organizacyjnych ustalone na podstawie faktur, rachunków, decyzji administracyjnych itp. Na stronie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ujmuje się zapłatę zobowiązań. Saldo konta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na dzień 31 grudnia danego roku budżetowego będzie oznaczało stan zobowiązań podlegający wyłączeniu w łącznym sprawozdaniu finansowym. </w:t>
      </w:r>
    </w:p>
    <w:p w:rsidR="000563EF" w:rsidRPr="00F95862" w:rsidRDefault="000563EF" w:rsidP="000563EF">
      <w:pPr>
        <w:numPr>
          <w:ilvl w:val="0"/>
          <w:numId w:val="2"/>
        </w:numPr>
        <w:spacing w:after="14" w:line="349" w:lineRule="auto"/>
        <w:ind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Konto 976-</w:t>
      </w:r>
      <w:r w:rsidRPr="00F95862">
        <w:rPr>
          <w:rFonts w:asciiTheme="minorHAnsi" w:eastAsia="Arial" w:hAnsiTheme="minorHAnsi" w:cstheme="minorHAnsi"/>
        </w:rPr>
        <w:t>03 winno służyć do ewidencji narastająco od początku roku do dnia 31 grudnia przychodów będących następstwem wzajemnych świadczeń pomiędzy jednostkami wymienionymi w Załączniku Nr 3 do Zarządzenia. Na stronie Ma konta ujmuje się wszelkie przychody osiągane w związku z rozliczeniami pomiędzy jednostkami objętymi sprawozdaniem łącznym</w:t>
      </w:r>
      <w:r>
        <w:rPr>
          <w:rFonts w:asciiTheme="minorHAnsi" w:eastAsia="Arial" w:hAnsiTheme="minorHAnsi" w:cstheme="minorHAnsi"/>
        </w:rPr>
        <w:t>.</w:t>
      </w:r>
      <w:r w:rsidRPr="00F95862">
        <w:rPr>
          <w:rFonts w:asciiTheme="minorHAnsi" w:eastAsia="Arial" w:hAnsiTheme="minorHAnsi" w:cstheme="minorHAnsi"/>
        </w:rPr>
        <w:t xml:space="preserve"> Na koniec roku obroty strony Ma oznaczają wielkość przychodów podlegających wyłączeniu w łącznym sprawozdaniu finansowym i przenosi</w:t>
      </w:r>
      <w:r>
        <w:rPr>
          <w:rFonts w:asciiTheme="minorHAnsi" w:eastAsia="Arial" w:hAnsiTheme="minorHAnsi" w:cstheme="minorHAnsi"/>
        </w:rPr>
        <w:t xml:space="preserve"> się je na stronę </w:t>
      </w:r>
      <w:proofErr w:type="spellStart"/>
      <w:r>
        <w:rPr>
          <w:rFonts w:asciiTheme="minorHAnsi" w:eastAsia="Arial" w:hAnsiTheme="minorHAnsi" w:cstheme="minorHAnsi"/>
        </w:rPr>
        <w:t>Wn</w:t>
      </w:r>
      <w:proofErr w:type="spellEnd"/>
      <w:r>
        <w:rPr>
          <w:rFonts w:asciiTheme="minorHAnsi" w:eastAsia="Arial" w:hAnsiTheme="minorHAnsi" w:cstheme="minorHAnsi"/>
        </w:rPr>
        <w:t>. Konto 976-</w:t>
      </w:r>
      <w:r w:rsidRPr="00F95862">
        <w:rPr>
          <w:rFonts w:asciiTheme="minorHAnsi" w:eastAsia="Arial" w:hAnsiTheme="minorHAnsi" w:cstheme="minorHAnsi"/>
        </w:rPr>
        <w:t>03 na koniec roku nie wykazuje salda. Przychody uzyskane od jednostek muszą być równe poniesionym kosztom w poszczególnej jednostce.</w:t>
      </w:r>
      <w:r w:rsidRPr="00FE39AE">
        <w:rPr>
          <w:rFonts w:asciiTheme="minorHAnsi" w:eastAsia="Arial" w:hAnsiTheme="minorHAnsi" w:cstheme="minorHAnsi"/>
          <w:color w:val="FF0000"/>
        </w:rPr>
        <w:t xml:space="preserve">. </w:t>
      </w:r>
    </w:p>
    <w:p w:rsidR="000563EF" w:rsidRPr="00FE39AE" w:rsidRDefault="000563EF" w:rsidP="000563EF">
      <w:pPr>
        <w:numPr>
          <w:ilvl w:val="0"/>
          <w:numId w:val="2"/>
        </w:numPr>
        <w:spacing w:after="7" w:line="360" w:lineRule="auto"/>
        <w:ind w:hanging="283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eastAsia="Arial" w:hAnsiTheme="minorHAnsi" w:cstheme="minorHAnsi"/>
        </w:rPr>
        <w:t>Konto 976-</w:t>
      </w:r>
      <w:r w:rsidRPr="00F95862">
        <w:rPr>
          <w:rFonts w:asciiTheme="minorHAnsi" w:eastAsia="Arial" w:hAnsiTheme="minorHAnsi" w:cstheme="minorHAnsi"/>
        </w:rPr>
        <w:t xml:space="preserve">04 winno służyć do ewidencji narastająco od początku roku do dnia 31 grudnia kosztów będących następstwem wzajemnych rozliczeń świadczeń pomiędzy jednostkami wymienionymi w Załączniku Nr 3 do Zarządzenia. Na stronie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konta ujmuje się koszty poniesione w związku z rozliczeniami pomiędzy jednostkami objętymi sprawozdaniem łącznym w podziale zgodnym z drukiem rachunku zysków i strat. Na koniec roku obroty strony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konta oznaczają wielkość kosztów podlegających wyłączeniu w łącznym sprawozdaniu finansowym. Na koniec roku saldo strony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przenosi się na stronę Ma tym samym na koniec roku nie wykazując salda. Koszty poniesione w jednostce i zaewidencjonowane na koncie 976</w:t>
      </w:r>
      <w:r>
        <w:rPr>
          <w:rFonts w:asciiTheme="minorHAnsi" w:eastAsia="Arial" w:hAnsiTheme="minorHAnsi" w:cstheme="minorHAnsi"/>
        </w:rPr>
        <w:t>-</w:t>
      </w:r>
      <w:r w:rsidRPr="00F95862">
        <w:rPr>
          <w:rFonts w:asciiTheme="minorHAnsi" w:eastAsia="Arial" w:hAnsiTheme="minorHAnsi" w:cstheme="minorHAnsi"/>
        </w:rPr>
        <w:t xml:space="preserve">04 muszą się równać uzyskanym przychodom w poszczególnych jednostkach. </w:t>
      </w:r>
    </w:p>
    <w:p w:rsidR="000563EF" w:rsidRPr="00F95862" w:rsidRDefault="000563EF" w:rsidP="000563EF">
      <w:pPr>
        <w:numPr>
          <w:ilvl w:val="0"/>
          <w:numId w:val="2"/>
        </w:numPr>
        <w:spacing w:after="150" w:line="361" w:lineRule="auto"/>
        <w:ind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Konto 976-</w:t>
      </w:r>
      <w:r w:rsidRPr="00F95862">
        <w:rPr>
          <w:rFonts w:asciiTheme="minorHAnsi" w:eastAsia="Arial" w:hAnsiTheme="minorHAnsi" w:cstheme="minorHAnsi"/>
        </w:rPr>
        <w:t xml:space="preserve">05 winno służyć do ewidencji środków trwałych i środków trwałych w budowie oraz wartości niematerialnych nieodpłatnie otrzymanych lub/i przekazanych w ramach grupy jednostek wymienionych w Załączniku Nr 3 do Zarządzenia. Na stronie </w:t>
      </w:r>
      <w:proofErr w:type="spellStart"/>
      <w:r w:rsidRPr="00F95862">
        <w:rPr>
          <w:rFonts w:asciiTheme="minorHAnsi" w:eastAsia="Arial" w:hAnsiTheme="minorHAnsi" w:cstheme="minorHAnsi"/>
        </w:rPr>
        <w:t>Wn</w:t>
      </w:r>
      <w:proofErr w:type="spellEnd"/>
      <w:r w:rsidRPr="00F95862">
        <w:rPr>
          <w:rFonts w:asciiTheme="minorHAnsi" w:eastAsia="Arial" w:hAnsiTheme="minorHAnsi" w:cstheme="minorHAnsi"/>
        </w:rPr>
        <w:t xml:space="preserve"> należy księgować wartość netto nieodpłatnie przekazanych w ciągu roku środków trwałych i środków trwałych w budowie oraz wartości niematerialnych i prawnych. Wartości muszą być równe wartościom zwiększającym na funduszu jednostki otrzymującej aktywa. Na stronie Ma ujmuje się wartość netto otrzymanych w trakcie roku środków trwałych i środków trwałych w budowie oraz wartości niematerialnych i prawnych. Wartości muszą być równe zmniejszeniom na funduszu jednostki przekazującej aktywa. </w:t>
      </w:r>
      <w:r w:rsidRPr="00FE39AE">
        <w:rPr>
          <w:rFonts w:asciiTheme="minorHAnsi" w:eastAsia="Arial" w:hAnsiTheme="minorHAnsi" w:cstheme="minorHAnsi"/>
          <w:color w:val="auto"/>
        </w:rPr>
        <w:t xml:space="preserve">Ewidencja powinna być prowadzona zgodnie z podziałem kont Zespołu 0. </w:t>
      </w:r>
    </w:p>
    <w:p w:rsidR="008F682B" w:rsidRDefault="008F682B" w:rsidP="000563EF">
      <w:pPr>
        <w:spacing w:after="197"/>
        <w:ind w:left="10" w:right="6" w:hanging="10"/>
        <w:jc w:val="center"/>
        <w:rPr>
          <w:rFonts w:asciiTheme="minorHAnsi" w:eastAsia="Arial" w:hAnsiTheme="minorHAnsi" w:cstheme="minorHAnsi"/>
          <w:b/>
        </w:rPr>
      </w:pPr>
    </w:p>
    <w:p w:rsidR="000563EF" w:rsidRPr="00F95862" w:rsidRDefault="000563EF" w:rsidP="000563EF">
      <w:pPr>
        <w:spacing w:after="197"/>
        <w:ind w:left="10" w:right="6" w:hanging="10"/>
        <w:jc w:val="center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  <w:b/>
        </w:rPr>
        <w:lastRenderedPageBreak/>
        <w:t xml:space="preserve">§ 3 </w:t>
      </w:r>
    </w:p>
    <w:p w:rsidR="000563EF" w:rsidRPr="00F95862" w:rsidRDefault="000563EF" w:rsidP="000563EF">
      <w:pPr>
        <w:spacing w:after="10" w:line="336" w:lineRule="auto"/>
        <w:ind w:left="-5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>W celu prawidłowej ewidencji zdarzeń na koncie 976</w:t>
      </w:r>
      <w:r>
        <w:rPr>
          <w:rFonts w:asciiTheme="minorHAnsi" w:eastAsia="Arial" w:hAnsiTheme="minorHAnsi" w:cstheme="minorHAnsi"/>
        </w:rPr>
        <w:t>-</w:t>
      </w:r>
      <w:r w:rsidRPr="00F95862">
        <w:rPr>
          <w:rFonts w:asciiTheme="minorHAnsi" w:eastAsia="Arial" w:hAnsiTheme="minorHAnsi" w:cstheme="minorHAnsi"/>
        </w:rPr>
        <w:t xml:space="preserve">05 jednostki powinny stosować następujące księgowania przyjęcia/przekazania środków trwałych i środków trwałych w budowie oraz wartości niematerialnych i prawnych: </w:t>
      </w:r>
    </w:p>
    <w:p w:rsidR="000563EF" w:rsidRPr="00F95862" w:rsidRDefault="000563EF" w:rsidP="000563EF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1) nieodpłatne przekazanie: </w:t>
      </w:r>
    </w:p>
    <w:tbl>
      <w:tblPr>
        <w:tblStyle w:val="TableGrid"/>
        <w:tblW w:w="7840" w:type="dxa"/>
        <w:tblInd w:w="0" w:type="dxa"/>
        <w:tblLook w:val="04A0" w:firstRow="1" w:lastRow="0" w:firstColumn="1" w:lastColumn="0" w:noHBand="0" w:noVBand="1"/>
      </w:tblPr>
      <w:tblGrid>
        <w:gridCol w:w="5665"/>
        <w:gridCol w:w="708"/>
        <w:gridCol w:w="1467"/>
      </w:tblGrid>
      <w:tr w:rsidR="000563EF" w:rsidRPr="00F95862" w:rsidTr="00255964">
        <w:trPr>
          <w:trHeight w:val="27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tabs>
                <w:tab w:val="center" w:pos="1925"/>
                <w:tab w:val="center" w:pos="4249"/>
                <w:tab w:val="center" w:pos="4957"/>
              </w:tabs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hAnsiTheme="minorHAnsi" w:cstheme="minorHAnsi"/>
              </w:rPr>
              <w:tab/>
            </w:r>
            <w:r w:rsidRPr="00F95862">
              <w:rPr>
                <w:rFonts w:asciiTheme="minorHAnsi" w:eastAsia="Segoe UI Symbol" w:hAnsiTheme="minorHAnsi" w:cstheme="minorHAnsi"/>
              </w:rPr>
              <w:t></w:t>
            </w:r>
            <w:r w:rsidRPr="00F95862">
              <w:rPr>
                <w:rFonts w:asciiTheme="minorHAnsi" w:eastAsia="Arial" w:hAnsiTheme="minorHAnsi" w:cstheme="minorHAnsi"/>
              </w:rPr>
              <w:t xml:space="preserve"> środków trwałych wartość netto  </w:t>
            </w:r>
            <w:r w:rsidRPr="00F95862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F95862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95862">
              <w:rPr>
                <w:rFonts w:asciiTheme="minorHAnsi" w:eastAsia="Arial" w:hAnsiTheme="minorHAnsi" w:cstheme="minorHAnsi"/>
              </w:rPr>
              <w:t>Wn</w:t>
            </w:r>
            <w:proofErr w:type="spellEnd"/>
            <w:r w:rsidRPr="00F95862">
              <w:rPr>
                <w:rFonts w:asciiTheme="minorHAnsi" w:eastAsia="Arial" w:hAnsiTheme="minorHAnsi" w:cstheme="minorHAnsi"/>
              </w:rPr>
              <w:t xml:space="preserve"> 800/Ma 011 </w:t>
            </w:r>
          </w:p>
        </w:tc>
      </w:tr>
      <w:tr w:rsidR="000563EF" w:rsidRPr="00F95862" w:rsidTr="00255964">
        <w:trPr>
          <w:trHeight w:val="319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ind w:left="396"/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Segoe UI Symbol" w:hAnsiTheme="minorHAnsi" w:cstheme="minorHAnsi"/>
              </w:rPr>
              <w:t></w:t>
            </w:r>
            <w:r w:rsidRPr="00F95862">
              <w:rPr>
                <w:rFonts w:asciiTheme="minorHAnsi" w:eastAsia="Arial" w:hAnsiTheme="minorHAnsi" w:cstheme="minorHAnsi"/>
              </w:rPr>
              <w:t xml:space="preserve"> wartości niematerialnych i prawnych w wartości netto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95862">
              <w:rPr>
                <w:rFonts w:asciiTheme="minorHAnsi" w:eastAsia="Arial" w:hAnsiTheme="minorHAnsi" w:cstheme="minorHAnsi"/>
              </w:rPr>
              <w:t>Wn</w:t>
            </w:r>
            <w:proofErr w:type="spellEnd"/>
            <w:r w:rsidRPr="00F95862">
              <w:rPr>
                <w:rFonts w:asciiTheme="minorHAnsi" w:eastAsia="Arial" w:hAnsiTheme="minorHAnsi" w:cstheme="minorHAnsi"/>
              </w:rPr>
              <w:t xml:space="preserve"> 800/Ma 020 </w:t>
            </w:r>
          </w:p>
        </w:tc>
      </w:tr>
      <w:tr w:rsidR="000563EF" w:rsidRPr="00F95862" w:rsidTr="00255964">
        <w:trPr>
          <w:trHeight w:val="64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63EF" w:rsidRDefault="000563EF" w:rsidP="00255964">
            <w:pPr>
              <w:ind w:right="476" w:firstLine="396"/>
              <w:jc w:val="both"/>
              <w:rPr>
                <w:rFonts w:asciiTheme="minorHAnsi" w:eastAsia="Arial" w:hAnsiTheme="minorHAnsi" w:cstheme="minorHAnsi"/>
              </w:rPr>
            </w:pPr>
            <w:r w:rsidRPr="00F95862">
              <w:rPr>
                <w:rFonts w:asciiTheme="minorHAnsi" w:eastAsia="Segoe UI Symbol" w:hAnsiTheme="minorHAnsi" w:cstheme="minorHAnsi"/>
              </w:rPr>
              <w:t></w:t>
            </w:r>
            <w:r w:rsidRPr="00F95862">
              <w:rPr>
                <w:rFonts w:asciiTheme="minorHAnsi" w:eastAsia="Arial" w:hAnsiTheme="minorHAnsi" w:cstheme="minorHAnsi"/>
              </w:rPr>
              <w:t xml:space="preserve"> środków trwałych w budowie (inwestycji)  </w:t>
            </w:r>
          </w:p>
          <w:p w:rsidR="000563EF" w:rsidRPr="00F95862" w:rsidRDefault="000563EF" w:rsidP="00255964">
            <w:pPr>
              <w:ind w:right="476"/>
              <w:jc w:val="both"/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2) nieodpłatne otrzymanie: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95862">
              <w:rPr>
                <w:rFonts w:asciiTheme="minorHAnsi" w:eastAsia="Arial" w:hAnsiTheme="minorHAnsi" w:cstheme="minorHAnsi"/>
              </w:rPr>
              <w:t>Wn</w:t>
            </w:r>
            <w:proofErr w:type="spellEnd"/>
            <w:r w:rsidRPr="00F95862">
              <w:rPr>
                <w:rFonts w:asciiTheme="minorHAnsi" w:eastAsia="Arial" w:hAnsiTheme="minorHAnsi" w:cstheme="minorHAnsi"/>
              </w:rPr>
              <w:t xml:space="preserve"> 800/Ma 080 </w:t>
            </w:r>
          </w:p>
        </w:tc>
      </w:tr>
      <w:tr w:rsidR="000563EF" w:rsidRPr="00F95862" w:rsidTr="00255964">
        <w:trPr>
          <w:trHeight w:val="3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tabs>
                <w:tab w:val="center" w:pos="1925"/>
                <w:tab w:val="center" w:pos="4249"/>
                <w:tab w:val="center" w:pos="4957"/>
              </w:tabs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hAnsiTheme="minorHAnsi" w:cstheme="minorHAnsi"/>
              </w:rPr>
              <w:tab/>
            </w:r>
            <w:r w:rsidRPr="00F95862">
              <w:rPr>
                <w:rFonts w:asciiTheme="minorHAnsi" w:eastAsia="Segoe UI Symbol" w:hAnsiTheme="minorHAnsi" w:cstheme="minorHAnsi"/>
              </w:rPr>
              <w:t></w:t>
            </w:r>
            <w:r w:rsidRPr="00F95862">
              <w:rPr>
                <w:rFonts w:asciiTheme="minorHAnsi" w:eastAsia="Arial" w:hAnsiTheme="minorHAnsi" w:cstheme="minorHAnsi"/>
              </w:rPr>
              <w:t xml:space="preserve"> środków trwałych wartość netto  </w:t>
            </w:r>
            <w:r w:rsidRPr="00F95862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F95862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jc w:val="both"/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>Ma 800/</w:t>
            </w:r>
            <w:proofErr w:type="spellStart"/>
            <w:r w:rsidRPr="00F95862">
              <w:rPr>
                <w:rFonts w:asciiTheme="minorHAnsi" w:eastAsia="Arial" w:hAnsiTheme="minorHAnsi" w:cstheme="minorHAnsi"/>
              </w:rPr>
              <w:t>Wn</w:t>
            </w:r>
            <w:proofErr w:type="spellEnd"/>
            <w:r w:rsidRPr="00F95862">
              <w:rPr>
                <w:rFonts w:asciiTheme="minorHAnsi" w:eastAsia="Arial" w:hAnsiTheme="minorHAnsi" w:cstheme="minorHAnsi"/>
              </w:rPr>
              <w:t xml:space="preserve"> 011 </w:t>
            </w:r>
          </w:p>
        </w:tc>
      </w:tr>
      <w:tr w:rsidR="000563EF" w:rsidRPr="00F95862" w:rsidTr="00255964">
        <w:trPr>
          <w:trHeight w:val="3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ind w:left="396"/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Segoe UI Symbol" w:hAnsiTheme="minorHAnsi" w:cstheme="minorHAnsi"/>
              </w:rPr>
              <w:t></w:t>
            </w:r>
            <w:r w:rsidRPr="00F95862">
              <w:rPr>
                <w:rFonts w:asciiTheme="minorHAnsi" w:eastAsia="Arial" w:hAnsiTheme="minorHAnsi" w:cstheme="minorHAnsi"/>
              </w:rPr>
              <w:t xml:space="preserve"> wartości niematerialnych i prawnych w wartości netto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jc w:val="both"/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>Ma 800/</w:t>
            </w:r>
            <w:proofErr w:type="spellStart"/>
            <w:r w:rsidRPr="00F95862">
              <w:rPr>
                <w:rFonts w:asciiTheme="minorHAnsi" w:eastAsia="Arial" w:hAnsiTheme="minorHAnsi" w:cstheme="minorHAnsi"/>
              </w:rPr>
              <w:t>Wn</w:t>
            </w:r>
            <w:proofErr w:type="spellEnd"/>
            <w:r w:rsidRPr="00F95862">
              <w:rPr>
                <w:rFonts w:asciiTheme="minorHAnsi" w:eastAsia="Arial" w:hAnsiTheme="minorHAnsi" w:cstheme="minorHAnsi"/>
              </w:rPr>
              <w:t xml:space="preserve"> 020 </w:t>
            </w:r>
          </w:p>
        </w:tc>
      </w:tr>
      <w:tr w:rsidR="000563EF" w:rsidRPr="00F95862" w:rsidTr="00255964">
        <w:trPr>
          <w:trHeight w:val="27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tabs>
                <w:tab w:val="center" w:pos="2325"/>
                <w:tab w:val="center" w:pos="4957"/>
              </w:tabs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hAnsiTheme="minorHAnsi" w:cstheme="minorHAnsi"/>
              </w:rPr>
              <w:tab/>
            </w:r>
            <w:r w:rsidRPr="00F95862">
              <w:rPr>
                <w:rFonts w:asciiTheme="minorHAnsi" w:eastAsia="Segoe UI Symbol" w:hAnsiTheme="minorHAnsi" w:cstheme="minorHAnsi"/>
              </w:rPr>
              <w:t></w:t>
            </w:r>
            <w:r w:rsidRPr="00F95862">
              <w:rPr>
                <w:rFonts w:asciiTheme="minorHAnsi" w:eastAsia="Arial" w:hAnsiTheme="minorHAnsi" w:cstheme="minorHAnsi"/>
              </w:rPr>
              <w:t xml:space="preserve"> środków trwałych w budowie (inwestycji) </w:t>
            </w:r>
            <w:r w:rsidRPr="00F95862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0563EF" w:rsidRPr="00F95862" w:rsidRDefault="000563EF" w:rsidP="00255964">
            <w:pPr>
              <w:jc w:val="both"/>
              <w:rPr>
                <w:rFonts w:asciiTheme="minorHAnsi" w:hAnsiTheme="minorHAnsi" w:cstheme="minorHAnsi"/>
              </w:rPr>
            </w:pPr>
            <w:r w:rsidRPr="00F95862">
              <w:rPr>
                <w:rFonts w:asciiTheme="minorHAnsi" w:eastAsia="Arial" w:hAnsiTheme="minorHAnsi" w:cstheme="minorHAnsi"/>
              </w:rPr>
              <w:t>Ma 800/</w:t>
            </w:r>
            <w:proofErr w:type="spellStart"/>
            <w:r w:rsidRPr="00F95862">
              <w:rPr>
                <w:rFonts w:asciiTheme="minorHAnsi" w:eastAsia="Arial" w:hAnsiTheme="minorHAnsi" w:cstheme="minorHAnsi"/>
              </w:rPr>
              <w:t>Wn</w:t>
            </w:r>
            <w:proofErr w:type="spellEnd"/>
            <w:r w:rsidRPr="00F95862">
              <w:rPr>
                <w:rFonts w:asciiTheme="minorHAnsi" w:eastAsia="Arial" w:hAnsiTheme="minorHAnsi" w:cstheme="minorHAnsi"/>
              </w:rPr>
              <w:t xml:space="preserve"> 080 </w:t>
            </w:r>
          </w:p>
        </w:tc>
      </w:tr>
    </w:tbl>
    <w:p w:rsidR="000563EF" w:rsidRPr="00F95862" w:rsidRDefault="000563EF" w:rsidP="000563EF">
      <w:pPr>
        <w:spacing w:after="197"/>
        <w:ind w:left="10" w:right="6" w:hanging="10"/>
        <w:jc w:val="center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  <w:b/>
        </w:rPr>
        <w:t xml:space="preserve">§ 4 </w:t>
      </w:r>
    </w:p>
    <w:p w:rsidR="000563EF" w:rsidRPr="00F95862" w:rsidRDefault="000563EF" w:rsidP="000563EF">
      <w:pPr>
        <w:spacing w:after="43" w:line="336" w:lineRule="auto"/>
        <w:ind w:left="-5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>Wraz ze sprawozdaniem finansowym jednostki organizacyjne zobowiązane są do sporządzania załączników do sprawozdania finansowego dotyczących wzajemnych wyłączeń sporządzonych na podstawie ewidenc</w:t>
      </w:r>
      <w:r>
        <w:rPr>
          <w:rFonts w:asciiTheme="minorHAnsi" w:eastAsia="Arial" w:hAnsiTheme="minorHAnsi" w:cstheme="minorHAnsi"/>
        </w:rPr>
        <w:t>ji do kont pozabilansowych 976</w:t>
      </w:r>
      <w:r w:rsidRPr="00D41D0B">
        <w:rPr>
          <w:rFonts w:asciiTheme="minorHAnsi" w:eastAsia="Arial" w:hAnsiTheme="minorHAnsi" w:cstheme="minorHAnsi"/>
        </w:rPr>
        <w:t xml:space="preserve"> </w:t>
      </w:r>
      <w:r w:rsidRPr="00F95862">
        <w:rPr>
          <w:rFonts w:asciiTheme="minorHAnsi" w:eastAsia="Arial" w:hAnsiTheme="minorHAnsi" w:cstheme="minorHAnsi"/>
        </w:rPr>
        <w:t>według wzoru określonego w Załączniku Nr 4 do niniejszego Zarządzenia</w:t>
      </w:r>
    </w:p>
    <w:p w:rsidR="000563EF" w:rsidRPr="00F95862" w:rsidRDefault="000563EF" w:rsidP="000563EF">
      <w:pPr>
        <w:spacing w:after="106"/>
        <w:ind w:left="10" w:right="6" w:hanging="10"/>
        <w:jc w:val="center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  <w:b/>
        </w:rPr>
        <w:t xml:space="preserve">§ 5 </w:t>
      </w:r>
    </w:p>
    <w:p w:rsidR="000563EF" w:rsidRPr="00F95862" w:rsidRDefault="000563EF" w:rsidP="000563EF">
      <w:pPr>
        <w:spacing w:after="102" w:line="397" w:lineRule="auto"/>
        <w:ind w:left="-5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Na podstawie otrzymanych jednostkowych sprawozdań finansowych i informacji uzupełniających Urząd </w:t>
      </w:r>
      <w:r>
        <w:rPr>
          <w:rFonts w:asciiTheme="minorHAnsi" w:eastAsia="Arial" w:hAnsiTheme="minorHAnsi" w:cstheme="minorHAnsi"/>
        </w:rPr>
        <w:t>Gminy</w:t>
      </w:r>
      <w:r w:rsidRPr="00F95862">
        <w:rPr>
          <w:rFonts w:asciiTheme="minorHAnsi" w:eastAsia="Arial" w:hAnsiTheme="minorHAnsi" w:cstheme="minorHAnsi"/>
        </w:rPr>
        <w:t xml:space="preserve"> sporządzający łączne sprawozdanie finansowe Gminy </w:t>
      </w:r>
      <w:r>
        <w:rPr>
          <w:rFonts w:asciiTheme="minorHAnsi" w:eastAsia="Arial" w:hAnsiTheme="minorHAnsi" w:cstheme="minorHAnsi"/>
        </w:rPr>
        <w:t>Dąbrówka</w:t>
      </w:r>
      <w:r w:rsidRPr="00F95862">
        <w:rPr>
          <w:rFonts w:asciiTheme="minorHAnsi" w:eastAsia="Arial" w:hAnsiTheme="minorHAnsi" w:cstheme="minorHAnsi"/>
        </w:rPr>
        <w:t xml:space="preserve"> sporządza łączny arkusz wzajemnych wyłączeń</w:t>
      </w:r>
      <w:r>
        <w:rPr>
          <w:rFonts w:asciiTheme="minorHAnsi" w:eastAsia="Arial" w:hAnsiTheme="minorHAnsi" w:cstheme="minorHAnsi"/>
        </w:rPr>
        <w:t>.</w:t>
      </w:r>
      <w:r w:rsidRPr="00F95862">
        <w:rPr>
          <w:rFonts w:asciiTheme="minorHAnsi" w:eastAsia="Arial" w:hAnsiTheme="minorHAnsi" w:cstheme="minorHAnsi"/>
        </w:rPr>
        <w:t xml:space="preserve"> </w:t>
      </w:r>
    </w:p>
    <w:p w:rsidR="000563EF" w:rsidRPr="00F95862" w:rsidRDefault="000563EF" w:rsidP="000563EF">
      <w:pPr>
        <w:spacing w:after="197"/>
        <w:ind w:left="10" w:right="6" w:hanging="10"/>
        <w:jc w:val="center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  <w:b/>
        </w:rPr>
        <w:t xml:space="preserve">§ 6 </w:t>
      </w:r>
    </w:p>
    <w:p w:rsidR="000563EF" w:rsidRPr="00F95862" w:rsidRDefault="000563EF" w:rsidP="000563EF">
      <w:pPr>
        <w:spacing w:after="38" w:line="334" w:lineRule="auto"/>
        <w:ind w:left="-5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>Wprowadza się następując</w:t>
      </w:r>
      <w:r>
        <w:rPr>
          <w:rFonts w:asciiTheme="minorHAnsi" w:eastAsia="Arial" w:hAnsiTheme="minorHAnsi" w:cstheme="minorHAnsi"/>
        </w:rPr>
        <w:t>y załącznik</w:t>
      </w:r>
      <w:r w:rsidRPr="00F95862">
        <w:rPr>
          <w:rFonts w:asciiTheme="minorHAnsi" w:eastAsia="Arial" w:hAnsiTheme="minorHAnsi" w:cstheme="minorHAnsi"/>
        </w:rPr>
        <w:t>, któr</w:t>
      </w:r>
      <w:r>
        <w:rPr>
          <w:rFonts w:asciiTheme="minorHAnsi" w:eastAsia="Arial" w:hAnsiTheme="minorHAnsi" w:cstheme="minorHAnsi"/>
        </w:rPr>
        <w:t>y</w:t>
      </w:r>
      <w:r w:rsidRPr="00F95862">
        <w:rPr>
          <w:rFonts w:asciiTheme="minorHAnsi" w:eastAsia="Arial" w:hAnsiTheme="minorHAnsi" w:cstheme="minorHAnsi"/>
        </w:rPr>
        <w:t xml:space="preserve"> należy obligatoryjnie załączyć do sprawozdania finansowego: </w:t>
      </w:r>
    </w:p>
    <w:p w:rsidR="000563EF" w:rsidRPr="00F95862" w:rsidRDefault="000563EF" w:rsidP="000563EF">
      <w:pPr>
        <w:spacing w:after="72"/>
        <w:ind w:left="-5" w:hanging="10"/>
        <w:jc w:val="both"/>
        <w:rPr>
          <w:rFonts w:asciiTheme="minorHAnsi" w:hAnsiTheme="minorHAnsi" w:cstheme="minorHAnsi"/>
        </w:rPr>
      </w:pPr>
      <w:r w:rsidRPr="00F95862">
        <w:rPr>
          <w:rFonts w:asciiTheme="minorHAnsi" w:eastAsia="Arial" w:hAnsiTheme="minorHAnsi" w:cstheme="minorHAnsi"/>
        </w:rPr>
        <w:t xml:space="preserve">Załącznik Nr </w:t>
      </w:r>
      <w:r>
        <w:rPr>
          <w:rFonts w:asciiTheme="minorHAnsi" w:eastAsia="Arial" w:hAnsiTheme="minorHAnsi" w:cstheme="minorHAnsi"/>
        </w:rPr>
        <w:t>1</w:t>
      </w:r>
      <w:r w:rsidRPr="00F95862">
        <w:rPr>
          <w:rFonts w:asciiTheme="minorHAnsi" w:eastAsia="Arial" w:hAnsiTheme="minorHAnsi" w:cstheme="minorHAnsi"/>
        </w:rPr>
        <w:t xml:space="preserve"> Arkusz wzajemnych wyłączeń za rok …. </w:t>
      </w:r>
    </w:p>
    <w:p w:rsidR="000563EF" w:rsidRPr="00F95862" w:rsidRDefault="000563EF" w:rsidP="000563EF">
      <w:pPr>
        <w:rPr>
          <w:rFonts w:asciiTheme="minorHAnsi" w:hAnsiTheme="minorHAnsi" w:cstheme="minorHAnsi"/>
        </w:rPr>
        <w:sectPr w:rsidR="000563EF" w:rsidRPr="00F95862" w:rsidSect="00D56CD7">
          <w:footerReference w:type="even" r:id="rId7"/>
          <w:footerReference w:type="default" r:id="rId8"/>
          <w:footerReference w:type="first" r:id="rId9"/>
          <w:pgSz w:w="11906" w:h="16838"/>
          <w:pgMar w:top="1435" w:right="1418" w:bottom="1656" w:left="1418" w:header="709" w:footer="261" w:gutter="0"/>
          <w:cols w:space="708"/>
        </w:sectPr>
      </w:pPr>
    </w:p>
    <w:p w:rsidR="000563EF" w:rsidRPr="004641A7" w:rsidRDefault="000563EF" w:rsidP="000563EF">
      <w:pPr>
        <w:tabs>
          <w:tab w:val="left" w:pos="2115"/>
        </w:tabs>
        <w:ind w:left="10915"/>
        <w:rPr>
          <w:rFonts w:asciiTheme="minorHAnsi" w:eastAsia="Times New Roman" w:hAnsiTheme="minorHAnsi" w:cstheme="minorHAnsi"/>
          <w:sz w:val="16"/>
          <w:szCs w:val="16"/>
        </w:rPr>
      </w:pPr>
      <w:r w:rsidRPr="004641A7">
        <w:rPr>
          <w:rFonts w:asciiTheme="minorHAnsi" w:eastAsia="Times New Roman" w:hAnsiTheme="minorHAnsi" w:cstheme="minorHAnsi"/>
          <w:b/>
          <w:sz w:val="16"/>
          <w:szCs w:val="16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sz w:val="16"/>
          <w:szCs w:val="16"/>
        </w:rPr>
        <w:t>1</w:t>
      </w:r>
      <w:r w:rsidRPr="004641A7">
        <w:rPr>
          <w:rFonts w:asciiTheme="minorHAnsi" w:eastAsia="Times New Roman" w:hAnsiTheme="minorHAnsi" w:cstheme="minorHAnsi"/>
          <w:sz w:val="16"/>
          <w:szCs w:val="16"/>
        </w:rPr>
        <w:t xml:space="preserve"> do Zasad wzajemnych rozrachunków pomiędzy jednostkami organizacyjnymi Gminy Dąbrówka, które uwzględniane są w łącznym sprawozdaniu finansowym Gminy Dąbrówka </w:t>
      </w:r>
    </w:p>
    <w:p w:rsidR="000563EF" w:rsidRPr="004641A7" w:rsidRDefault="000563EF" w:rsidP="000563EF">
      <w:pPr>
        <w:spacing w:after="0"/>
        <w:jc w:val="center"/>
        <w:rPr>
          <w:rFonts w:asciiTheme="minorHAnsi" w:hAnsiTheme="minorHAnsi" w:cstheme="minorHAnsi"/>
          <w:b/>
        </w:rPr>
      </w:pPr>
      <w:r w:rsidRPr="004641A7">
        <w:rPr>
          <w:rFonts w:asciiTheme="minorHAnsi" w:eastAsia="Times New Roman" w:hAnsiTheme="minorHAnsi" w:cstheme="minorHAnsi"/>
          <w:b/>
        </w:rPr>
        <w:t xml:space="preserve">Arkusz </w:t>
      </w:r>
      <w:r>
        <w:rPr>
          <w:rFonts w:asciiTheme="minorHAnsi" w:eastAsia="Times New Roman" w:hAnsiTheme="minorHAnsi" w:cstheme="minorHAnsi"/>
          <w:b/>
        </w:rPr>
        <w:t xml:space="preserve">wzajemnych </w:t>
      </w:r>
      <w:r w:rsidRPr="004641A7">
        <w:rPr>
          <w:rFonts w:asciiTheme="minorHAnsi" w:eastAsia="Times New Roman" w:hAnsiTheme="minorHAnsi" w:cstheme="minorHAnsi"/>
          <w:b/>
        </w:rPr>
        <w:t>wyłączeń za rok …</w:t>
      </w:r>
      <w:r>
        <w:rPr>
          <w:rFonts w:asciiTheme="minorHAnsi" w:eastAsia="Times New Roman" w:hAnsiTheme="minorHAnsi" w:cstheme="minorHAnsi"/>
          <w:b/>
        </w:rPr>
        <w:t>…….</w:t>
      </w:r>
      <w:r w:rsidRPr="004641A7">
        <w:rPr>
          <w:rFonts w:asciiTheme="minorHAnsi" w:eastAsia="Times New Roman" w:hAnsiTheme="minorHAnsi" w:cstheme="minorHAnsi"/>
          <w:b/>
        </w:rPr>
        <w:t>…</w:t>
      </w:r>
    </w:p>
    <w:p w:rsidR="000563EF" w:rsidRDefault="000563EF" w:rsidP="000563EF">
      <w:pPr>
        <w:spacing w:after="3"/>
        <w:ind w:left="13467"/>
        <w:rPr>
          <w:rFonts w:asciiTheme="minorHAnsi" w:eastAsia="Times New Roman" w:hAnsiTheme="minorHAnsi" w:cstheme="minorHAnsi"/>
        </w:rPr>
      </w:pPr>
    </w:p>
    <w:p w:rsidR="000563EF" w:rsidRDefault="000563EF" w:rsidP="000563EF">
      <w:pPr>
        <w:spacing w:after="3"/>
        <w:ind w:left="134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Tabela nr ….</w:t>
      </w:r>
    </w:p>
    <w:p w:rsidR="000563EF" w:rsidRDefault="000563EF" w:rsidP="000563EF">
      <w:pPr>
        <w:spacing w:after="3"/>
        <w:rPr>
          <w:rFonts w:asciiTheme="minorHAnsi" w:eastAsia="Times New Roman" w:hAnsiTheme="minorHAnsi" w:cstheme="minorHAnsi"/>
          <w:b/>
        </w:rPr>
      </w:pPr>
      <w:r w:rsidRPr="0056742B">
        <w:rPr>
          <w:rFonts w:asciiTheme="minorHAnsi" w:eastAsia="Times New Roman" w:hAnsiTheme="minorHAnsi" w:cstheme="minorHAnsi"/>
          <w:b/>
        </w:rPr>
        <w:t>Aktywa bilansu</w:t>
      </w:r>
    </w:p>
    <w:p w:rsidR="00AA2D2A" w:rsidRPr="0056742B" w:rsidRDefault="00AA2D2A" w:rsidP="000563EF">
      <w:pPr>
        <w:spacing w:after="3"/>
        <w:rPr>
          <w:rFonts w:asciiTheme="minorHAnsi" w:hAnsiTheme="minorHAnsi" w:cstheme="minorHAnsi"/>
          <w:b/>
        </w:rPr>
      </w:pPr>
    </w:p>
    <w:tbl>
      <w:tblPr>
        <w:tblStyle w:val="TableGrid"/>
        <w:tblW w:w="15467" w:type="dxa"/>
        <w:tblInd w:w="-31" w:type="dxa"/>
        <w:tblCellMar>
          <w:top w:w="34" w:type="dxa"/>
          <w:left w:w="53" w:type="dxa"/>
          <w:right w:w="18" w:type="dxa"/>
        </w:tblCellMar>
        <w:tblLook w:val="04A0" w:firstRow="1" w:lastRow="0" w:firstColumn="1" w:lastColumn="0" w:noHBand="0" w:noVBand="1"/>
      </w:tblPr>
      <w:tblGrid>
        <w:gridCol w:w="1859"/>
        <w:gridCol w:w="1701"/>
        <w:gridCol w:w="1701"/>
        <w:gridCol w:w="1701"/>
        <w:gridCol w:w="1843"/>
        <w:gridCol w:w="1559"/>
        <w:gridCol w:w="2126"/>
        <w:gridCol w:w="1276"/>
        <w:gridCol w:w="1701"/>
      </w:tblGrid>
      <w:tr w:rsidR="000563EF" w:rsidRPr="00F95862" w:rsidTr="00AA2D2A">
        <w:trPr>
          <w:trHeight w:val="948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Jednostka organizacyjna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Należności długoterminowe</w:t>
            </w:r>
          </w:p>
          <w:p w:rsidR="000563EF" w:rsidRPr="004641A7" w:rsidRDefault="000563EF" w:rsidP="00AA2D2A">
            <w:pPr>
              <w:spacing w:after="0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(A.III)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Należności z tytułu dostaw i usług</w:t>
            </w:r>
          </w:p>
          <w:p w:rsidR="000563EF" w:rsidRPr="004641A7" w:rsidRDefault="000563EF" w:rsidP="00AA2D2A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(B.II.1)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Należności od budżetów</w:t>
            </w:r>
          </w:p>
          <w:p w:rsidR="000563EF" w:rsidRPr="004641A7" w:rsidRDefault="000563EF" w:rsidP="00AA2D2A">
            <w:pPr>
              <w:spacing w:after="0"/>
              <w:ind w:righ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(B.II.2)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Należności z tytułu ubezpieczeń i innych</w:t>
            </w:r>
          </w:p>
          <w:p w:rsidR="000563EF" w:rsidRDefault="000563EF" w:rsidP="00AA2D2A">
            <w:pPr>
              <w:spacing w:after="0"/>
              <w:ind w:right="3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świadczeń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563EF" w:rsidRPr="004641A7" w:rsidRDefault="000563EF" w:rsidP="00AA2D2A">
            <w:pPr>
              <w:spacing w:after="0"/>
              <w:ind w:righ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(B.II.3)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/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Pozostałe należności</w:t>
            </w:r>
          </w:p>
          <w:p w:rsidR="000563EF" w:rsidRPr="004641A7" w:rsidRDefault="000563EF" w:rsidP="00AA2D2A">
            <w:pPr>
              <w:spacing w:after="0"/>
              <w:ind w:right="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(B.II.4)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Rozliczenia z tytułu środków na wydatki</w:t>
            </w:r>
          </w:p>
          <w:p w:rsidR="000563EF" w:rsidRPr="004641A7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budżetowe i z tytułu dochodów</w:t>
            </w:r>
          </w:p>
          <w:p w:rsidR="000563EF" w:rsidRPr="004641A7" w:rsidRDefault="000563EF" w:rsidP="00AA2D2A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budżetowych</w:t>
            </w:r>
          </w:p>
          <w:p w:rsidR="000563EF" w:rsidRPr="004641A7" w:rsidRDefault="000563EF" w:rsidP="00AA2D2A">
            <w:pPr>
              <w:spacing w:after="0"/>
              <w:ind w:righ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(B.II.5)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4641A7" w:rsidRDefault="000563EF" w:rsidP="00AA2D2A">
            <w:pPr>
              <w:spacing w:after="0"/>
              <w:ind w:righ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…….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63EF" w:rsidRPr="004641A7" w:rsidRDefault="000563EF" w:rsidP="00AA2D2A">
            <w:pPr>
              <w:spacing w:after="0"/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Uwagi /Wyjaśnienia</w:t>
            </w:r>
          </w:p>
        </w:tc>
      </w:tr>
      <w:tr w:rsidR="000563EF" w:rsidRPr="00F95862" w:rsidTr="00255964">
        <w:trPr>
          <w:trHeight w:val="257"/>
        </w:trPr>
        <w:tc>
          <w:tcPr>
            <w:tcW w:w="1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ind w:righ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257"/>
        </w:trPr>
        <w:tc>
          <w:tcPr>
            <w:tcW w:w="1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257"/>
        </w:trPr>
        <w:tc>
          <w:tcPr>
            <w:tcW w:w="1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257"/>
        </w:trPr>
        <w:tc>
          <w:tcPr>
            <w:tcW w:w="1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ind w:right="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349"/>
        </w:trPr>
        <w:tc>
          <w:tcPr>
            <w:tcW w:w="1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563EF" w:rsidRPr="004641A7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563EF" w:rsidRDefault="000563EF" w:rsidP="000563EF">
      <w:pPr>
        <w:spacing w:after="3"/>
        <w:ind w:left="-5" w:hanging="10"/>
        <w:rPr>
          <w:rFonts w:asciiTheme="minorHAnsi" w:eastAsia="Times New Roman" w:hAnsiTheme="minorHAnsi" w:cstheme="minorHAnsi"/>
        </w:rPr>
      </w:pPr>
    </w:p>
    <w:p w:rsidR="000563EF" w:rsidRPr="0056742B" w:rsidRDefault="000563EF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  <w:r w:rsidRPr="0056742B">
        <w:rPr>
          <w:rFonts w:asciiTheme="minorHAnsi" w:eastAsia="Times New Roman" w:hAnsiTheme="minorHAnsi" w:cstheme="minorHAnsi"/>
          <w:b/>
        </w:rPr>
        <w:t>Pasywa bilansu</w:t>
      </w:r>
    </w:p>
    <w:tbl>
      <w:tblPr>
        <w:tblStyle w:val="TableGrid"/>
        <w:tblpPr w:vertAnchor="page" w:horzAnchor="margin" w:tblpY="7036"/>
        <w:tblOverlap w:val="never"/>
        <w:tblW w:w="15436" w:type="dxa"/>
        <w:tblInd w:w="0" w:type="dxa"/>
        <w:tblLayout w:type="fixed"/>
        <w:tblCellMar>
          <w:top w:w="49" w:type="dxa"/>
          <w:left w:w="26" w:type="dxa"/>
        </w:tblCellMar>
        <w:tblLook w:val="04A0" w:firstRow="1" w:lastRow="0" w:firstColumn="1" w:lastColumn="0" w:noHBand="0" w:noVBand="1"/>
      </w:tblPr>
      <w:tblGrid>
        <w:gridCol w:w="1379"/>
        <w:gridCol w:w="1278"/>
        <w:gridCol w:w="1264"/>
        <w:gridCol w:w="1265"/>
        <w:gridCol w:w="1265"/>
        <w:gridCol w:w="1265"/>
        <w:gridCol w:w="1264"/>
        <w:gridCol w:w="1124"/>
        <w:gridCol w:w="1113"/>
        <w:gridCol w:w="1839"/>
        <w:gridCol w:w="821"/>
        <w:gridCol w:w="1559"/>
      </w:tblGrid>
      <w:tr w:rsidR="00AA2D2A" w:rsidRPr="00F95862" w:rsidTr="00AA2D2A">
        <w:trPr>
          <w:trHeight w:val="895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Jednostka organizacyjna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Zobowiązania długoterminowe</w:t>
            </w:r>
          </w:p>
          <w:p w:rsidR="00AA2D2A" w:rsidRPr="004641A7" w:rsidRDefault="00AA2D2A" w:rsidP="00AA2D2A">
            <w:pPr>
              <w:spacing w:after="0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(D.I.)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Zobowiązania krótkoterminowe</w:t>
            </w:r>
          </w:p>
          <w:p w:rsidR="00AA2D2A" w:rsidRPr="004641A7" w:rsidRDefault="00AA2D2A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(D.II)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Zobowiązania z tytułu dostaw i usług</w:t>
            </w:r>
          </w:p>
          <w:p w:rsidR="00AA2D2A" w:rsidRPr="004641A7" w:rsidRDefault="00AA2D2A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(D.II.1)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Zobowiązania wobec budżetów</w:t>
            </w:r>
          </w:p>
          <w:p w:rsidR="00AA2D2A" w:rsidRPr="004641A7" w:rsidRDefault="00AA2D2A" w:rsidP="00AA2D2A">
            <w:pPr>
              <w:spacing w:after="0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(D.II.2)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Zobowiązania z tytułu ubezpieczeń i innych świadczeń</w:t>
            </w:r>
          </w:p>
          <w:p w:rsidR="00AA2D2A" w:rsidRPr="004641A7" w:rsidRDefault="00AA2D2A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(D.II.3)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Zobowiązania z tytułu wynagrodzeń</w:t>
            </w:r>
          </w:p>
          <w:p w:rsidR="00AA2D2A" w:rsidRPr="004641A7" w:rsidRDefault="00AA2D2A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(D.II.4)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Pozostałe zobowiązania</w:t>
            </w:r>
          </w:p>
          <w:p w:rsidR="00AA2D2A" w:rsidRPr="004641A7" w:rsidRDefault="00AA2D2A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(D.II.5)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Sumy obce (depozytowe, zabezpieczenie wykonania</w:t>
            </w:r>
          </w:p>
          <w:p w:rsidR="00AA2D2A" w:rsidRPr="004641A7" w:rsidRDefault="00AA2D2A" w:rsidP="00AA2D2A">
            <w:pPr>
              <w:spacing w:after="0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umów)</w:t>
            </w:r>
          </w:p>
          <w:p w:rsidR="00AA2D2A" w:rsidRPr="004641A7" w:rsidRDefault="00AA2D2A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(D.II.6)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Rozliczenia z tytułu środków na wydatki</w:t>
            </w:r>
          </w:p>
          <w:p w:rsidR="00AA2D2A" w:rsidRPr="004641A7" w:rsidRDefault="00AA2D2A" w:rsidP="00AA2D2A">
            <w:pPr>
              <w:spacing w:after="0"/>
              <w:ind w:righ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budżetowe i z tytułu</w:t>
            </w:r>
          </w:p>
          <w:p w:rsidR="00AA2D2A" w:rsidRPr="004641A7" w:rsidRDefault="00AA2D2A" w:rsidP="00AA2D2A">
            <w:pPr>
              <w:spacing w:after="0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dochodów budżetowych</w:t>
            </w:r>
          </w:p>
          <w:p w:rsidR="00AA2D2A" w:rsidRPr="004641A7" w:rsidRDefault="00AA2D2A" w:rsidP="00AA2D2A">
            <w:pPr>
              <w:spacing w:after="0"/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(D.II.7)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2A" w:rsidRPr="004641A7" w:rsidRDefault="00AA2D2A" w:rsidP="00AA2D2A">
            <w:pPr>
              <w:spacing w:after="0"/>
              <w:ind w:righ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……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2D2A" w:rsidRPr="004641A7" w:rsidRDefault="00AA2D2A" w:rsidP="00AA2D2A">
            <w:pPr>
              <w:spacing w:after="0"/>
              <w:ind w:righ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Uwagi /Wyjaśnienia</w:t>
            </w:r>
          </w:p>
        </w:tc>
      </w:tr>
      <w:tr w:rsidR="00AA2D2A" w:rsidRPr="00F95862" w:rsidTr="00AA2D2A">
        <w:trPr>
          <w:trHeight w:val="182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,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2D2A" w:rsidRPr="00F95862" w:rsidTr="00AA2D2A">
        <w:trPr>
          <w:trHeight w:val="182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2D2A" w:rsidRPr="00F95862" w:rsidTr="00AA2D2A">
        <w:trPr>
          <w:trHeight w:val="182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ind w:righ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2D2A" w:rsidRPr="00F95862" w:rsidTr="00AA2D2A">
        <w:trPr>
          <w:trHeight w:val="182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A2D2A" w:rsidRPr="00F95862" w:rsidTr="00AA2D2A">
        <w:trPr>
          <w:trHeight w:val="193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41A7">
              <w:rPr>
                <w:rFonts w:asciiTheme="minorHAnsi" w:eastAsia="Times New Roman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2D2A" w:rsidRPr="004641A7" w:rsidRDefault="00AA2D2A" w:rsidP="00AA2D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292B76">
      <w:pPr>
        <w:spacing w:after="3"/>
        <w:ind w:left="-5" w:hanging="10"/>
        <w:jc w:val="right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0563EF" w:rsidRDefault="000563EF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  <w:r w:rsidRPr="0056742B">
        <w:rPr>
          <w:rFonts w:asciiTheme="minorHAnsi" w:eastAsia="Times New Roman" w:hAnsiTheme="minorHAnsi" w:cstheme="minorHAnsi"/>
          <w:b/>
        </w:rPr>
        <w:t>Rachunek zysków i strat – przychody</w:t>
      </w:r>
    </w:p>
    <w:p w:rsidR="00AA2D2A" w:rsidRPr="0056742B" w:rsidRDefault="00AA2D2A" w:rsidP="000563EF">
      <w:pPr>
        <w:spacing w:after="3"/>
        <w:ind w:left="-5" w:hanging="10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15436" w:type="dxa"/>
        <w:tblInd w:w="0" w:type="dxa"/>
        <w:tblCellMar>
          <w:top w:w="49" w:type="dxa"/>
          <w:left w:w="31" w:type="dxa"/>
        </w:tblCellMar>
        <w:tblLook w:val="04A0" w:firstRow="1" w:lastRow="0" w:firstColumn="1" w:lastColumn="0" w:noHBand="0" w:noVBand="1"/>
      </w:tblPr>
      <w:tblGrid>
        <w:gridCol w:w="1326"/>
        <w:gridCol w:w="1636"/>
        <w:gridCol w:w="2268"/>
        <w:gridCol w:w="2268"/>
        <w:gridCol w:w="2268"/>
        <w:gridCol w:w="2268"/>
        <w:gridCol w:w="1418"/>
        <w:gridCol w:w="1984"/>
      </w:tblGrid>
      <w:tr w:rsidR="000563EF" w:rsidRPr="00F95862" w:rsidTr="00255964">
        <w:trPr>
          <w:trHeight w:val="806"/>
        </w:trPr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Jednostka organizacyjna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left="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Przychody razem</w:t>
            </w:r>
          </w:p>
          <w:p w:rsidR="000563EF" w:rsidRPr="003065A0" w:rsidRDefault="000563EF" w:rsidP="00AA2D2A">
            <w:pPr>
              <w:spacing w:after="0"/>
              <w:ind w:right="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(A.)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Przychody netto ze sprzedaży</w:t>
            </w:r>
          </w:p>
          <w:p w:rsidR="000563EF" w:rsidRPr="003065A0" w:rsidRDefault="000563EF" w:rsidP="00AA2D2A">
            <w:pPr>
              <w:spacing w:after="0"/>
              <w:ind w:righ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produktów</w:t>
            </w:r>
          </w:p>
          <w:p w:rsidR="000563EF" w:rsidRPr="003065A0" w:rsidRDefault="000563EF" w:rsidP="00AA2D2A">
            <w:pPr>
              <w:spacing w:after="0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(A.I.)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Przychody netto ze sprzedaży towarów i materiałów</w:t>
            </w:r>
          </w:p>
          <w:p w:rsidR="000563EF" w:rsidRPr="003065A0" w:rsidRDefault="000563EF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(A.IV)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Dotacje na finansowanie działalności podstawowej</w:t>
            </w:r>
          </w:p>
          <w:p w:rsidR="000563EF" w:rsidRPr="003065A0" w:rsidRDefault="000563EF" w:rsidP="00AA2D2A">
            <w:pPr>
              <w:spacing w:after="0"/>
              <w:ind w:left="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(A.V.)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Przychody z tytułu dochodów</w:t>
            </w:r>
          </w:p>
          <w:p w:rsidR="000563EF" w:rsidRDefault="000563EF" w:rsidP="00AA2D2A">
            <w:pPr>
              <w:spacing w:after="0"/>
              <w:ind w:left="65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budżetowych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563EF" w:rsidRPr="003065A0" w:rsidRDefault="000563EF" w:rsidP="00AA2D2A">
            <w:pPr>
              <w:spacing w:after="0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(A.VI.)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right="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…..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Uwagi /Wyjaśnienia</w:t>
            </w:r>
          </w:p>
        </w:tc>
      </w:tr>
      <w:tr w:rsidR="000563EF" w:rsidRPr="00F95862" w:rsidTr="00255964">
        <w:trPr>
          <w:trHeight w:val="182"/>
        </w:trPr>
        <w:tc>
          <w:tcPr>
            <w:tcW w:w="13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82"/>
        </w:trPr>
        <w:tc>
          <w:tcPr>
            <w:tcW w:w="13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82"/>
        </w:trPr>
        <w:tc>
          <w:tcPr>
            <w:tcW w:w="13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82"/>
        </w:trPr>
        <w:tc>
          <w:tcPr>
            <w:tcW w:w="13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94"/>
        </w:trPr>
        <w:tc>
          <w:tcPr>
            <w:tcW w:w="13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563EF" w:rsidRDefault="000563EF" w:rsidP="000563EF">
      <w:pPr>
        <w:spacing w:after="3"/>
        <w:ind w:left="-5" w:hanging="10"/>
        <w:rPr>
          <w:rFonts w:asciiTheme="minorHAnsi" w:eastAsia="Times New Roman" w:hAnsiTheme="minorHAnsi" w:cstheme="minorHAnsi"/>
        </w:rPr>
      </w:pPr>
    </w:p>
    <w:p w:rsidR="000563EF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Ra</w:t>
      </w:r>
      <w:r w:rsidR="000563EF" w:rsidRPr="0056742B">
        <w:rPr>
          <w:rFonts w:asciiTheme="minorHAnsi" w:eastAsia="Times New Roman" w:hAnsiTheme="minorHAnsi" w:cstheme="minorHAnsi"/>
          <w:b/>
        </w:rPr>
        <w:t>chunek zysków i strat – koszty</w:t>
      </w:r>
    </w:p>
    <w:p w:rsidR="00AA2D2A" w:rsidRPr="0056742B" w:rsidRDefault="00AA2D2A" w:rsidP="000563EF">
      <w:pPr>
        <w:spacing w:after="3"/>
        <w:ind w:left="-5" w:hanging="10"/>
        <w:rPr>
          <w:rFonts w:asciiTheme="minorHAnsi" w:hAnsiTheme="minorHAnsi" w:cstheme="minorHAnsi"/>
          <w:b/>
        </w:rPr>
      </w:pPr>
    </w:p>
    <w:tbl>
      <w:tblPr>
        <w:tblStyle w:val="TableGrid"/>
        <w:tblW w:w="15467" w:type="dxa"/>
        <w:tblInd w:w="-31" w:type="dxa"/>
        <w:tblCellMar>
          <w:top w:w="49" w:type="dxa"/>
          <w:left w:w="38" w:type="dxa"/>
          <w:right w:w="5" w:type="dxa"/>
        </w:tblCellMar>
        <w:tblLook w:val="04A0" w:firstRow="1" w:lastRow="0" w:firstColumn="1" w:lastColumn="0" w:noHBand="0" w:noVBand="1"/>
      </w:tblPr>
      <w:tblGrid>
        <w:gridCol w:w="1347"/>
        <w:gridCol w:w="1001"/>
        <w:gridCol w:w="1212"/>
        <w:gridCol w:w="851"/>
        <w:gridCol w:w="992"/>
        <w:gridCol w:w="1134"/>
        <w:gridCol w:w="1417"/>
        <w:gridCol w:w="1276"/>
        <w:gridCol w:w="1418"/>
        <w:gridCol w:w="1559"/>
        <w:gridCol w:w="1134"/>
        <w:gridCol w:w="709"/>
        <w:gridCol w:w="1417"/>
      </w:tblGrid>
      <w:tr w:rsidR="000563EF" w:rsidRPr="00F95862" w:rsidTr="00255964">
        <w:trPr>
          <w:trHeight w:val="705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Jednostka organizacyjna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Default="000563EF" w:rsidP="00AA2D2A">
            <w:pPr>
              <w:spacing w:after="0"/>
              <w:ind w:right="29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Koszty razem</w:t>
            </w:r>
          </w:p>
          <w:p w:rsidR="000563EF" w:rsidRPr="003065A0" w:rsidRDefault="000563EF" w:rsidP="00AA2D2A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(B.)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Zużycie materiałów i energii</w:t>
            </w:r>
          </w:p>
          <w:p w:rsidR="000563EF" w:rsidRPr="003065A0" w:rsidRDefault="000563EF" w:rsidP="00AA2D2A">
            <w:pPr>
              <w:spacing w:after="0"/>
              <w:ind w:righ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(B.II.)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Usługi obce</w:t>
            </w:r>
          </w:p>
          <w:p w:rsidR="000563EF" w:rsidRPr="003065A0" w:rsidRDefault="000563EF" w:rsidP="00AA2D2A">
            <w:pPr>
              <w:spacing w:after="0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(B.III.)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Podatki i opłaty (B.IV.)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Wynagrodzenia</w:t>
            </w:r>
          </w:p>
          <w:p w:rsidR="000563EF" w:rsidRPr="003065A0" w:rsidRDefault="000563EF" w:rsidP="00AA2D2A">
            <w:pPr>
              <w:spacing w:after="0"/>
              <w:ind w:right="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(B.V.)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ind w:left="134" w:right="163" w:firstLine="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Ubezpieczenia społeczne i inne świadczenia dla</w:t>
            </w:r>
          </w:p>
          <w:p w:rsidR="000563EF" w:rsidRPr="003065A0" w:rsidRDefault="000563EF" w:rsidP="00AA2D2A">
            <w:pPr>
              <w:spacing w:after="0"/>
              <w:ind w:right="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pracowników</w:t>
            </w:r>
          </w:p>
          <w:p w:rsidR="000563EF" w:rsidRPr="003065A0" w:rsidRDefault="000563EF" w:rsidP="00AA2D2A">
            <w:pPr>
              <w:spacing w:after="0"/>
              <w:ind w:righ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(B.VI.)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Pozostałe koszty rodzajowe</w:t>
            </w:r>
          </w:p>
          <w:p w:rsidR="000563EF" w:rsidRPr="003065A0" w:rsidRDefault="000563EF" w:rsidP="00AA2D2A">
            <w:pPr>
              <w:spacing w:after="0"/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(B.VII.)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Wartość sprzedanych towarów, materiałów (B.VIII.)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Inne świadczenia finansowane z budżetu</w:t>
            </w:r>
          </w:p>
          <w:p w:rsidR="000563EF" w:rsidRPr="003065A0" w:rsidRDefault="000563EF" w:rsidP="00AA2D2A">
            <w:pPr>
              <w:spacing w:after="0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(B.IX.)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Pozostałe obciążenia</w:t>
            </w:r>
          </w:p>
          <w:p w:rsidR="000563EF" w:rsidRPr="003065A0" w:rsidRDefault="000563EF" w:rsidP="00AA2D2A">
            <w:pPr>
              <w:spacing w:after="0"/>
              <w:ind w:right="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(B.X.)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……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Uwagi /Wyjaśnienia</w:t>
            </w:r>
          </w:p>
        </w:tc>
      </w:tr>
      <w:tr w:rsidR="000563EF" w:rsidRPr="00F95862" w:rsidTr="00255964">
        <w:trPr>
          <w:trHeight w:val="159"/>
        </w:trPr>
        <w:tc>
          <w:tcPr>
            <w:tcW w:w="13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59"/>
        </w:trPr>
        <w:tc>
          <w:tcPr>
            <w:tcW w:w="13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59"/>
        </w:trPr>
        <w:tc>
          <w:tcPr>
            <w:tcW w:w="13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69"/>
        </w:trPr>
        <w:tc>
          <w:tcPr>
            <w:tcW w:w="13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AA2D2A" w:rsidRDefault="00AA2D2A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</w:p>
    <w:p w:rsidR="000563EF" w:rsidRDefault="000563EF" w:rsidP="000563EF">
      <w:pPr>
        <w:spacing w:after="3"/>
        <w:ind w:left="-5" w:hanging="10"/>
        <w:rPr>
          <w:rFonts w:asciiTheme="minorHAnsi" w:eastAsia="Times New Roman" w:hAnsiTheme="minorHAnsi" w:cstheme="minorHAnsi"/>
          <w:b/>
        </w:rPr>
      </w:pPr>
      <w:r w:rsidRPr="0056742B">
        <w:rPr>
          <w:rFonts w:asciiTheme="minorHAnsi" w:eastAsia="Times New Roman" w:hAnsiTheme="minorHAnsi" w:cstheme="minorHAnsi"/>
          <w:b/>
        </w:rPr>
        <w:t>Zestawienie zmian w funduszu</w:t>
      </w:r>
    </w:p>
    <w:p w:rsidR="00AA2D2A" w:rsidRPr="0056742B" w:rsidRDefault="00AA2D2A" w:rsidP="000563EF">
      <w:pPr>
        <w:spacing w:after="3"/>
        <w:ind w:left="-5" w:hanging="10"/>
        <w:rPr>
          <w:rFonts w:asciiTheme="minorHAnsi" w:hAnsiTheme="minorHAnsi" w:cstheme="minorHAnsi"/>
          <w:b/>
        </w:rPr>
      </w:pPr>
    </w:p>
    <w:tbl>
      <w:tblPr>
        <w:tblStyle w:val="TableGrid"/>
        <w:tblW w:w="15467" w:type="dxa"/>
        <w:tblInd w:w="-31" w:type="dxa"/>
        <w:tblCellMar>
          <w:top w:w="31" w:type="dxa"/>
          <w:left w:w="48" w:type="dxa"/>
          <w:right w:w="13" w:type="dxa"/>
        </w:tblCellMar>
        <w:tblLook w:val="04A0" w:firstRow="1" w:lastRow="0" w:firstColumn="1" w:lastColumn="0" w:noHBand="0" w:noVBand="1"/>
      </w:tblPr>
      <w:tblGrid>
        <w:gridCol w:w="1352"/>
        <w:gridCol w:w="1641"/>
        <w:gridCol w:w="2835"/>
        <w:gridCol w:w="1985"/>
        <w:gridCol w:w="1842"/>
        <w:gridCol w:w="2977"/>
        <w:gridCol w:w="1134"/>
        <w:gridCol w:w="1701"/>
      </w:tblGrid>
      <w:tr w:rsidR="000563EF" w:rsidRPr="00F95862" w:rsidTr="00AA2D2A">
        <w:trPr>
          <w:trHeight w:val="1212"/>
        </w:trPr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Jednostka organizacyjna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Środki na inwestycje</w:t>
            </w:r>
          </w:p>
          <w:p w:rsidR="000563EF" w:rsidRPr="003065A0" w:rsidRDefault="000563EF" w:rsidP="00AA2D2A">
            <w:pPr>
              <w:spacing w:after="0"/>
              <w:ind w:righ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(I.1.4.)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Nieodpłatnie otrzymane środki trwałe i środki</w:t>
            </w:r>
          </w:p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trwałe w budowie oraz wartości</w:t>
            </w:r>
          </w:p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niematerialne i prawne</w:t>
            </w:r>
          </w:p>
          <w:p w:rsidR="000563EF" w:rsidRPr="003065A0" w:rsidRDefault="000563EF" w:rsidP="00AA2D2A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(I.1.6.)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Inne zwiększenia</w:t>
            </w:r>
          </w:p>
          <w:p w:rsidR="000563EF" w:rsidRPr="003065A0" w:rsidRDefault="000563EF" w:rsidP="00AA2D2A">
            <w:pPr>
              <w:spacing w:after="0"/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(I.1.10)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Dotacje i środki na inwestycje</w:t>
            </w:r>
          </w:p>
          <w:p w:rsidR="000563EF" w:rsidRPr="003065A0" w:rsidRDefault="000563EF" w:rsidP="00AA2D2A">
            <w:pPr>
              <w:spacing w:after="0"/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(I.2.4)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Wartość sprzedanych i nieodpłatnie</w:t>
            </w:r>
          </w:p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przekazanych środków trwałych i środków</w:t>
            </w:r>
          </w:p>
          <w:p w:rsidR="000563EF" w:rsidRPr="003065A0" w:rsidRDefault="000563EF" w:rsidP="00AA2D2A">
            <w:pPr>
              <w:spacing w:after="0" w:line="26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trwałych w budowie oraz wartości niematerialnych i prawnych</w:t>
            </w:r>
          </w:p>
          <w:p w:rsidR="000563EF" w:rsidRPr="003065A0" w:rsidRDefault="000563EF" w:rsidP="00AA2D2A">
            <w:pPr>
              <w:spacing w:after="0"/>
              <w:ind w:righ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(I.2.6)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right="3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63EF" w:rsidRPr="003065A0" w:rsidRDefault="000563EF" w:rsidP="00AA2D2A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Uwagi /Wyjaśnienia</w:t>
            </w:r>
          </w:p>
        </w:tc>
      </w:tr>
      <w:tr w:rsidR="000563EF" w:rsidRPr="00F95862" w:rsidTr="00255964">
        <w:trPr>
          <w:trHeight w:val="182"/>
        </w:trPr>
        <w:tc>
          <w:tcPr>
            <w:tcW w:w="13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82"/>
        </w:trPr>
        <w:tc>
          <w:tcPr>
            <w:tcW w:w="13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82"/>
        </w:trPr>
        <w:tc>
          <w:tcPr>
            <w:tcW w:w="13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82"/>
        </w:trPr>
        <w:tc>
          <w:tcPr>
            <w:tcW w:w="13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63EF" w:rsidRPr="00F95862" w:rsidTr="00255964">
        <w:trPr>
          <w:trHeight w:val="194"/>
        </w:trPr>
        <w:tc>
          <w:tcPr>
            <w:tcW w:w="13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ind w:right="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65A0">
              <w:rPr>
                <w:rFonts w:asciiTheme="minorHAnsi" w:eastAsia="Times New Roman" w:hAnsiTheme="minorHAnsi" w:cstheme="minorHAnsi"/>
                <w:sz w:val="16"/>
                <w:szCs w:val="16"/>
              </w:rPr>
              <w:t>Ogółem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563EF" w:rsidRPr="003065A0" w:rsidRDefault="000563EF" w:rsidP="002559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563EF" w:rsidRDefault="000563EF" w:rsidP="000563EF">
      <w:pPr>
        <w:spacing w:after="3" w:line="257" w:lineRule="auto"/>
        <w:ind w:left="-5" w:hanging="10"/>
        <w:rPr>
          <w:rFonts w:asciiTheme="minorHAnsi" w:eastAsia="Times New Roman" w:hAnsiTheme="minorHAnsi" w:cstheme="minorHAnsi"/>
        </w:rPr>
      </w:pPr>
    </w:p>
    <w:p w:rsidR="000563EF" w:rsidRDefault="000563EF" w:rsidP="000563EF">
      <w:pPr>
        <w:spacing w:after="3" w:line="257" w:lineRule="auto"/>
        <w:ind w:left="-5" w:hanging="10"/>
        <w:rPr>
          <w:rFonts w:asciiTheme="minorHAnsi" w:eastAsia="Times New Roman" w:hAnsiTheme="minorHAnsi" w:cstheme="minorHAnsi"/>
        </w:rPr>
      </w:pPr>
    </w:p>
    <w:p w:rsidR="00AA2D2A" w:rsidRDefault="00AA2D2A" w:rsidP="000563EF">
      <w:pPr>
        <w:spacing w:after="3" w:line="257" w:lineRule="auto"/>
        <w:ind w:left="-5" w:hanging="10"/>
        <w:rPr>
          <w:rFonts w:asciiTheme="minorHAnsi" w:eastAsia="Times New Roman" w:hAnsiTheme="minorHAnsi" w:cstheme="minorHAnsi"/>
        </w:rPr>
      </w:pPr>
    </w:p>
    <w:p w:rsidR="00AA2D2A" w:rsidRDefault="00AA2D2A" w:rsidP="000563EF">
      <w:pPr>
        <w:spacing w:after="3" w:line="257" w:lineRule="auto"/>
        <w:ind w:left="-5" w:hanging="10"/>
        <w:rPr>
          <w:rFonts w:asciiTheme="minorHAnsi" w:eastAsia="Times New Roman" w:hAnsiTheme="minorHAnsi" w:cstheme="minorHAnsi"/>
        </w:rPr>
      </w:pPr>
    </w:p>
    <w:p w:rsidR="000563EF" w:rsidRPr="00F95862" w:rsidRDefault="000563EF" w:rsidP="000563EF">
      <w:pPr>
        <w:spacing w:after="3" w:line="257" w:lineRule="auto"/>
        <w:ind w:left="-5" w:hanging="10"/>
        <w:rPr>
          <w:rFonts w:asciiTheme="minorHAnsi" w:hAnsiTheme="minorHAnsi" w:cstheme="minorHAnsi"/>
        </w:rPr>
      </w:pPr>
      <w:r w:rsidRPr="00F95862">
        <w:rPr>
          <w:rFonts w:asciiTheme="minorHAnsi" w:eastAsia="Times New Roman" w:hAnsiTheme="minorHAnsi" w:cstheme="minorHAnsi"/>
        </w:rPr>
        <w:t>…………………………</w:t>
      </w:r>
      <w:r>
        <w:rPr>
          <w:rFonts w:asciiTheme="minorHAnsi" w:eastAsia="Times New Roman" w:hAnsiTheme="minorHAnsi" w:cstheme="minorHAnsi"/>
        </w:rPr>
        <w:t>……………………….</w:t>
      </w:r>
      <w:r w:rsidRPr="00F95862">
        <w:rPr>
          <w:rFonts w:asciiTheme="minorHAnsi" w:eastAsia="Times New Roman" w:hAnsiTheme="minorHAnsi" w:cstheme="minorHAnsi"/>
        </w:rPr>
        <w:t>….</w:t>
      </w:r>
    </w:p>
    <w:p w:rsidR="000563EF" w:rsidRPr="00F95862" w:rsidRDefault="000563EF" w:rsidP="000563EF">
      <w:pPr>
        <w:spacing w:after="3" w:line="257" w:lineRule="auto"/>
        <w:ind w:left="-5" w:hanging="10"/>
        <w:rPr>
          <w:rFonts w:asciiTheme="minorHAnsi" w:hAnsiTheme="minorHAnsi" w:cstheme="minorHAnsi"/>
        </w:rPr>
      </w:pPr>
      <w:r w:rsidRPr="00F95862">
        <w:rPr>
          <w:rFonts w:asciiTheme="minorHAnsi" w:eastAsia="Times New Roman" w:hAnsiTheme="minorHAnsi" w:cstheme="minorHAnsi"/>
        </w:rPr>
        <w:t xml:space="preserve">data </w:t>
      </w:r>
      <w:r>
        <w:rPr>
          <w:rFonts w:asciiTheme="minorHAnsi" w:eastAsia="Times New Roman" w:hAnsiTheme="minorHAnsi" w:cstheme="minorHAnsi"/>
        </w:rPr>
        <w:t xml:space="preserve"> i podpis </w:t>
      </w:r>
      <w:r w:rsidRPr="00F95862">
        <w:rPr>
          <w:rFonts w:asciiTheme="minorHAnsi" w:eastAsia="Times New Roman" w:hAnsiTheme="minorHAnsi" w:cstheme="minorHAnsi"/>
        </w:rPr>
        <w:t>osob</w:t>
      </w:r>
      <w:r>
        <w:rPr>
          <w:rFonts w:asciiTheme="minorHAnsi" w:eastAsia="Times New Roman" w:hAnsiTheme="minorHAnsi" w:cstheme="minorHAnsi"/>
        </w:rPr>
        <w:t>y</w:t>
      </w:r>
      <w:r w:rsidRPr="00F95862">
        <w:rPr>
          <w:rFonts w:asciiTheme="minorHAnsi" w:eastAsia="Times New Roman" w:hAnsiTheme="minorHAnsi" w:cstheme="minorHAnsi"/>
        </w:rPr>
        <w:t xml:space="preserve"> sporządzając</w:t>
      </w:r>
      <w:r>
        <w:rPr>
          <w:rFonts w:asciiTheme="minorHAnsi" w:eastAsia="Times New Roman" w:hAnsiTheme="minorHAnsi" w:cstheme="minorHAnsi"/>
        </w:rPr>
        <w:t>ej</w:t>
      </w:r>
      <w:r w:rsidRPr="00F95862">
        <w:rPr>
          <w:rFonts w:asciiTheme="minorHAnsi" w:eastAsia="Times New Roman" w:hAnsiTheme="minorHAnsi" w:cstheme="minorHAnsi"/>
        </w:rPr>
        <w:t xml:space="preserve"> </w:t>
      </w:r>
    </w:p>
    <w:p w:rsidR="00AA2D2A" w:rsidRDefault="00AA2D2A" w:rsidP="000563EF">
      <w:pPr>
        <w:rPr>
          <w:rFonts w:asciiTheme="minorHAnsi" w:hAnsiTheme="minorHAnsi" w:cstheme="minorHAnsi"/>
        </w:rPr>
      </w:pPr>
    </w:p>
    <w:p w:rsidR="00292B76" w:rsidRDefault="00292B76" w:rsidP="000563EF">
      <w:pPr>
        <w:rPr>
          <w:rFonts w:asciiTheme="minorHAnsi" w:hAnsiTheme="minorHAnsi" w:cstheme="minorHAnsi"/>
        </w:rPr>
      </w:pPr>
    </w:p>
    <w:p w:rsidR="00292B76" w:rsidRPr="00F95862" w:rsidRDefault="00292B76" w:rsidP="000563EF">
      <w:pPr>
        <w:rPr>
          <w:rFonts w:asciiTheme="minorHAnsi" w:hAnsiTheme="minorHAnsi" w:cstheme="minorHAnsi"/>
        </w:rPr>
        <w:sectPr w:rsidR="00292B76" w:rsidRPr="00F95862" w:rsidSect="00292B76">
          <w:footerReference w:type="even" r:id="rId10"/>
          <w:footerReference w:type="default" r:id="rId11"/>
          <w:footerReference w:type="first" r:id="rId12"/>
          <w:pgSz w:w="16838" w:h="11906" w:orient="landscape"/>
          <w:pgMar w:top="567" w:right="720" w:bottom="567" w:left="720" w:header="709" w:footer="261" w:gutter="0"/>
          <w:cols w:space="708"/>
          <w:docGrid w:linePitch="299"/>
        </w:sectPr>
      </w:pPr>
      <w:bookmarkStart w:id="0" w:name="_GoBack"/>
      <w:bookmarkEnd w:id="0"/>
    </w:p>
    <w:p w:rsidR="0047733D" w:rsidRDefault="0047733D" w:rsidP="00292B76"/>
    <w:sectPr w:rsidR="0047733D" w:rsidSect="0047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64" w:rsidRDefault="008F682B">
      <w:pPr>
        <w:spacing w:after="0" w:line="240" w:lineRule="auto"/>
      </w:pPr>
      <w:r>
        <w:separator/>
      </w:r>
    </w:p>
  </w:endnote>
  <w:endnote w:type="continuationSeparator" w:id="0">
    <w:p w:rsidR="00EE3C64" w:rsidRDefault="008F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54" w:rsidRDefault="00292B76">
    <w:pPr>
      <w:tabs>
        <w:tab w:val="right" w:pos="9490"/>
      </w:tabs>
      <w:spacing w:after="0"/>
      <w:ind w:left="-416" w:right="-4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106165"/>
      <w:docPartObj>
        <w:docPartGallery w:val="Page Numbers (Bottom of Page)"/>
        <w:docPartUnique/>
      </w:docPartObj>
    </w:sdtPr>
    <w:sdtEndPr/>
    <w:sdtContent>
      <w:p w:rsidR="00106154" w:rsidRDefault="000563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76">
          <w:rPr>
            <w:noProof/>
          </w:rPr>
          <w:t>3</w:t>
        </w:r>
        <w:r>
          <w:fldChar w:fldCharType="end"/>
        </w:r>
      </w:p>
    </w:sdtContent>
  </w:sdt>
  <w:p w:rsidR="00106154" w:rsidRDefault="00292B76">
    <w:pPr>
      <w:tabs>
        <w:tab w:val="right" w:pos="9490"/>
      </w:tabs>
      <w:spacing w:after="0"/>
      <w:ind w:left="-416" w:right="-4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54" w:rsidRDefault="000563EF">
    <w:pPr>
      <w:spacing w:after="193"/>
      <w:ind w:right="51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106154" w:rsidRDefault="000563EF">
    <w:pPr>
      <w:tabs>
        <w:tab w:val="right" w:pos="9490"/>
      </w:tabs>
      <w:spacing w:after="0"/>
      <w:ind w:left="-416" w:right="-413"/>
    </w:pPr>
    <w:r>
      <w:rPr>
        <w:rFonts w:ascii="Times New Roman" w:eastAsia="Times New Roman" w:hAnsi="Times New Roman" w:cs="Times New Roman"/>
        <w:sz w:val="18"/>
      </w:rPr>
      <w:t>Id: 98C88D25-771A-4534-8D0D-326E5F117BC9. Przyjęty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54" w:rsidRDefault="00292B76">
    <w:pPr>
      <w:tabs>
        <w:tab w:val="center" w:pos="2783"/>
        <w:tab w:val="right" w:pos="15486"/>
      </w:tabs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158694"/>
      <w:docPartObj>
        <w:docPartGallery w:val="Page Numbers (Bottom of Page)"/>
        <w:docPartUnique/>
      </w:docPartObj>
    </w:sdtPr>
    <w:sdtEndPr/>
    <w:sdtContent>
      <w:p w:rsidR="00106154" w:rsidRDefault="000563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76">
          <w:rPr>
            <w:noProof/>
          </w:rPr>
          <w:t>7</w:t>
        </w:r>
        <w:r>
          <w:fldChar w:fldCharType="end"/>
        </w:r>
      </w:p>
    </w:sdtContent>
  </w:sdt>
  <w:p w:rsidR="00106154" w:rsidRDefault="00292B76">
    <w:pPr>
      <w:tabs>
        <w:tab w:val="center" w:pos="2783"/>
        <w:tab w:val="right" w:pos="15486"/>
      </w:tabs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54" w:rsidRDefault="000563EF">
    <w:pPr>
      <w:tabs>
        <w:tab w:val="center" w:pos="2783"/>
        <w:tab w:val="right" w:pos="15486"/>
      </w:tabs>
      <w:spacing w:after="0"/>
    </w:pPr>
    <w:r>
      <w:tab/>
    </w:r>
    <w:r>
      <w:rPr>
        <w:rFonts w:ascii="Times New Roman" w:eastAsia="Times New Roman" w:hAnsi="Times New Roman" w:cs="Times New Roman"/>
        <w:sz w:val="18"/>
      </w:rPr>
      <w:t>Id: 98C88D25-771A-4534-8D0D-326E5F117BC9. Przyjęty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64" w:rsidRDefault="008F682B">
      <w:pPr>
        <w:spacing w:after="0" w:line="240" w:lineRule="auto"/>
      </w:pPr>
      <w:r>
        <w:separator/>
      </w:r>
    </w:p>
  </w:footnote>
  <w:footnote w:type="continuationSeparator" w:id="0">
    <w:p w:rsidR="00EE3C64" w:rsidRDefault="008F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A11"/>
    <w:multiLevelType w:val="hybridMultilevel"/>
    <w:tmpl w:val="628CF764"/>
    <w:lvl w:ilvl="0" w:tplc="57C4857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6B1DE">
      <w:start w:val="1"/>
      <w:numFmt w:val="decimal"/>
      <w:lvlText w:val="%2)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C034B6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618A0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AE9B8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4BFB2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04FDE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0D25E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C7978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34CEA"/>
    <w:multiLevelType w:val="hybridMultilevel"/>
    <w:tmpl w:val="0ABC0D7E"/>
    <w:lvl w:ilvl="0" w:tplc="0D3CFBF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6DD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E86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2E1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0EC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0A58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4CF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001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0AB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EF"/>
    <w:rsid w:val="000563EF"/>
    <w:rsid w:val="00292B76"/>
    <w:rsid w:val="0047733D"/>
    <w:rsid w:val="008F682B"/>
    <w:rsid w:val="00AA2D2A"/>
    <w:rsid w:val="00E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8569"/>
  <w15:docId w15:val="{0DA6EE98-88A9-444C-A3B4-C8E92DFE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3EF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563EF"/>
    <w:pPr>
      <w:keepNext/>
      <w:keepLines/>
      <w:spacing w:after="197" w:line="259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3EF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0563E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5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3EF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B7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Instalator</dc:creator>
  <cp:lastModifiedBy>Marta Jasińska</cp:lastModifiedBy>
  <cp:revision>4</cp:revision>
  <dcterms:created xsi:type="dcterms:W3CDTF">2025-03-26T11:39:00Z</dcterms:created>
  <dcterms:modified xsi:type="dcterms:W3CDTF">2025-03-26T12:04:00Z</dcterms:modified>
</cp:coreProperties>
</file>